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655FEC80" w:rsidR="00A209D6" w:rsidRPr="00B266B0" w:rsidRDefault="00A209D6" w:rsidP="46DB3364">
      <w:pPr>
        <w:pStyle w:val="Header"/>
        <w:tabs>
          <w:tab w:val="right" w:pos="9639"/>
        </w:tabs>
        <w:rPr>
          <w:noProof w:val="0"/>
          <w:sz w:val="24"/>
          <w:szCs w:val="24"/>
        </w:rPr>
      </w:pPr>
      <w:r w:rsidRPr="46DB3364">
        <w:rPr>
          <w:noProof w:val="0"/>
          <w:sz w:val="24"/>
          <w:szCs w:val="24"/>
        </w:rPr>
        <w:t>3GPP TSG-RAN WG2 Meeting #</w:t>
      </w:r>
      <w:r w:rsidR="0036459E" w:rsidRPr="46DB3364">
        <w:rPr>
          <w:noProof w:val="0"/>
          <w:sz w:val="24"/>
          <w:szCs w:val="24"/>
        </w:rPr>
        <w:t>1</w:t>
      </w:r>
      <w:r w:rsidR="008B54E8" w:rsidRPr="46DB3364">
        <w:rPr>
          <w:noProof w:val="0"/>
          <w:sz w:val="24"/>
          <w:szCs w:val="24"/>
        </w:rPr>
        <w:t>2</w:t>
      </w:r>
      <w:r w:rsidR="00E46EBB">
        <w:rPr>
          <w:noProof w:val="0"/>
          <w:sz w:val="24"/>
          <w:szCs w:val="24"/>
        </w:rPr>
        <w:t>3bis</w:t>
      </w:r>
      <w:r>
        <w:tab/>
      </w:r>
      <w:r w:rsidRPr="000718BC">
        <w:rPr>
          <w:noProof w:val="0"/>
          <w:sz w:val="24"/>
          <w:szCs w:val="24"/>
        </w:rPr>
        <w:t>R2-</w:t>
      </w:r>
      <w:r w:rsidR="000718BC" w:rsidRPr="000718BC">
        <w:rPr>
          <w:noProof w:val="0"/>
          <w:sz w:val="24"/>
          <w:szCs w:val="24"/>
        </w:rPr>
        <w:t>2310122</w:t>
      </w:r>
    </w:p>
    <w:p w14:paraId="11776FA6" w14:textId="0727A169" w:rsidR="00A209D6" w:rsidRPr="00465587" w:rsidRDefault="00F728E5" w:rsidP="00A209D6">
      <w:pPr>
        <w:pStyle w:val="Header"/>
        <w:tabs>
          <w:tab w:val="right" w:pos="9639"/>
        </w:tabs>
        <w:rPr>
          <w:rFonts w:eastAsia="SimSun"/>
          <w:bCs/>
          <w:sz w:val="24"/>
          <w:szCs w:val="24"/>
          <w:lang w:eastAsia="zh-CN"/>
        </w:rPr>
      </w:pPr>
      <w:r>
        <w:rPr>
          <w:rFonts w:eastAsia="SimSun"/>
          <w:bCs/>
          <w:sz w:val="24"/>
          <w:szCs w:val="24"/>
          <w:lang w:eastAsia="zh-CN"/>
        </w:rPr>
        <w:t>Xiamen</w:t>
      </w:r>
      <w:r w:rsidR="003E3079" w:rsidRPr="00F43286">
        <w:rPr>
          <w:rFonts w:eastAsia="SimSun"/>
          <w:bCs/>
          <w:sz w:val="24"/>
          <w:szCs w:val="24"/>
          <w:lang w:eastAsia="zh-CN"/>
        </w:rPr>
        <w:t xml:space="preserve">, </w:t>
      </w:r>
      <w:r>
        <w:rPr>
          <w:rFonts w:eastAsia="SimSun"/>
          <w:bCs/>
          <w:sz w:val="24"/>
          <w:szCs w:val="24"/>
          <w:lang w:eastAsia="zh-CN"/>
        </w:rPr>
        <w:t>China</w:t>
      </w:r>
      <w:r w:rsidR="003E3079" w:rsidRPr="00F43286">
        <w:rPr>
          <w:rFonts w:eastAsia="SimSun"/>
          <w:bCs/>
          <w:sz w:val="24"/>
          <w:szCs w:val="24"/>
          <w:lang w:eastAsia="zh-CN"/>
        </w:rPr>
        <w:t xml:space="preserve">, </w:t>
      </w:r>
      <w:r>
        <w:rPr>
          <w:rFonts w:eastAsia="SimSun"/>
          <w:bCs/>
          <w:sz w:val="24"/>
          <w:szCs w:val="24"/>
          <w:lang w:eastAsia="zh-CN"/>
        </w:rPr>
        <w:t>9</w:t>
      </w:r>
      <w:r w:rsidR="003E3079">
        <w:rPr>
          <w:rFonts w:eastAsia="SimSun"/>
          <w:bCs/>
          <w:sz w:val="24"/>
          <w:szCs w:val="24"/>
          <w:lang w:eastAsia="zh-CN"/>
        </w:rPr>
        <w:t xml:space="preserve"> </w:t>
      </w:r>
      <w:r w:rsidR="003E3079" w:rsidRPr="00F43286">
        <w:rPr>
          <w:rFonts w:eastAsia="SimSun"/>
          <w:bCs/>
          <w:sz w:val="24"/>
          <w:szCs w:val="24"/>
          <w:lang w:eastAsia="zh-CN"/>
        </w:rPr>
        <w:t xml:space="preserve">– </w:t>
      </w:r>
      <w:r>
        <w:rPr>
          <w:rFonts w:eastAsia="SimSun"/>
          <w:bCs/>
          <w:sz w:val="24"/>
          <w:szCs w:val="24"/>
          <w:lang w:eastAsia="zh-CN"/>
        </w:rPr>
        <w:t>13</w:t>
      </w:r>
      <w:r w:rsidR="003E3079" w:rsidRPr="00F43286">
        <w:rPr>
          <w:rFonts w:eastAsia="SimSun"/>
          <w:bCs/>
          <w:sz w:val="24"/>
          <w:szCs w:val="24"/>
          <w:lang w:eastAsia="zh-CN"/>
        </w:rPr>
        <w:t xml:space="preserve"> </w:t>
      </w:r>
      <w:r w:rsidR="00C863EE">
        <w:rPr>
          <w:rFonts w:eastAsia="SimSun"/>
          <w:bCs/>
          <w:sz w:val="24"/>
          <w:szCs w:val="24"/>
          <w:lang w:eastAsia="zh-CN"/>
        </w:rPr>
        <w:t>October</w:t>
      </w:r>
      <w:r w:rsidR="003E3079" w:rsidRPr="00F43286">
        <w:rPr>
          <w:rFonts w:eastAsia="SimSun"/>
          <w:bCs/>
          <w:sz w:val="24"/>
          <w:szCs w:val="24"/>
          <w:lang w:eastAsia="zh-CN"/>
        </w:rPr>
        <w:t xml:space="preserve"> 2023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1D10D164" w:rsidR="00446C3A" w:rsidRPr="00B266B0" w:rsidRDefault="00446C3A" w:rsidP="00446C3A">
      <w:pPr>
        <w:pStyle w:val="CRCoverPage"/>
        <w:tabs>
          <w:tab w:val="left" w:pos="1985"/>
        </w:tabs>
        <w:rPr>
          <w:rFonts w:cs="Arial"/>
          <w:b/>
          <w:bCs/>
          <w:sz w:val="24"/>
          <w:lang w:eastAsia="ja-JP"/>
        </w:rPr>
      </w:pPr>
      <w:r w:rsidRPr="00C4515D">
        <w:rPr>
          <w:rFonts w:cs="Arial"/>
          <w:b/>
          <w:bCs/>
          <w:sz w:val="24"/>
        </w:rPr>
        <w:t>Agenda item:</w:t>
      </w:r>
      <w:r w:rsidRPr="00C4515D">
        <w:rPr>
          <w:rFonts w:cs="Arial"/>
          <w:b/>
          <w:bCs/>
          <w:sz w:val="24"/>
        </w:rPr>
        <w:tab/>
      </w:r>
      <w:r w:rsidR="00BF467D" w:rsidRPr="00C4515D">
        <w:rPr>
          <w:rFonts w:cs="Arial"/>
          <w:b/>
          <w:bCs/>
          <w:sz w:val="24"/>
          <w:lang w:eastAsia="ja-JP"/>
        </w:rPr>
        <w:t>7</w:t>
      </w:r>
      <w:r w:rsidRPr="00C4515D">
        <w:rPr>
          <w:rFonts w:cs="Arial"/>
          <w:b/>
          <w:bCs/>
          <w:sz w:val="24"/>
          <w:lang w:eastAsia="ja-JP"/>
        </w:rPr>
        <w:t>.</w:t>
      </w:r>
      <w:r w:rsidR="00BF467D" w:rsidRPr="00C4515D">
        <w:rPr>
          <w:rFonts w:cs="Arial"/>
          <w:b/>
          <w:bCs/>
          <w:sz w:val="24"/>
          <w:lang w:eastAsia="ja-JP"/>
        </w:rPr>
        <w:t>12</w:t>
      </w:r>
      <w:r w:rsidRPr="00C4515D">
        <w:rPr>
          <w:rFonts w:cs="Arial"/>
          <w:b/>
          <w:bCs/>
          <w:sz w:val="24"/>
          <w:lang w:eastAsia="ja-JP"/>
        </w:rPr>
        <w:t>.</w:t>
      </w:r>
      <w:r w:rsidR="00BF467D" w:rsidRPr="00C4515D">
        <w:rPr>
          <w:rFonts w:cs="Arial"/>
          <w:b/>
          <w:bCs/>
          <w:sz w:val="24"/>
          <w:lang w:eastAsia="ja-JP"/>
        </w:rPr>
        <w:t>2.</w:t>
      </w:r>
      <w:r w:rsidR="00675DD9">
        <w:rPr>
          <w:rFonts w:cs="Arial"/>
          <w:b/>
          <w:bCs/>
          <w:sz w:val="24"/>
          <w:lang w:eastAsia="ja-JP"/>
        </w:rPr>
        <w:t>1</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FF28487" w:rsidR="00446C3A" w:rsidRDefault="00446C3A" w:rsidP="17668648">
      <w:pPr>
        <w:ind w:left="1985" w:hanging="1985"/>
        <w:rPr>
          <w:rFonts w:ascii="Arial" w:hAnsi="Arial" w:cs="Arial"/>
          <w:b/>
          <w:bCs/>
          <w:sz w:val="24"/>
          <w:szCs w:val="24"/>
        </w:rPr>
      </w:pPr>
      <w:r w:rsidRPr="17668648">
        <w:rPr>
          <w:rFonts w:ascii="Arial" w:hAnsi="Arial" w:cs="Arial"/>
          <w:b/>
          <w:bCs/>
          <w:sz w:val="24"/>
          <w:szCs w:val="24"/>
        </w:rPr>
        <w:t>Title:</w:t>
      </w:r>
      <w:r>
        <w:tab/>
      </w:r>
      <w:r w:rsidR="00B26848" w:rsidRPr="000718BC">
        <w:rPr>
          <w:rFonts w:ascii="Arial" w:hAnsi="Arial" w:cs="Arial"/>
          <w:b/>
          <w:bCs/>
          <w:sz w:val="24"/>
          <w:szCs w:val="24"/>
        </w:rPr>
        <w:t>C</w:t>
      </w:r>
      <w:r w:rsidR="00675DD9" w:rsidRPr="000718BC">
        <w:rPr>
          <w:rFonts w:ascii="Arial" w:hAnsi="Arial" w:cs="Arial"/>
          <w:b/>
          <w:bCs/>
          <w:sz w:val="24"/>
          <w:szCs w:val="24"/>
        </w:rPr>
        <w:t>onnected mode issues</w:t>
      </w:r>
      <w:r w:rsidR="00B26848" w:rsidRPr="000718BC">
        <w:rPr>
          <w:rFonts w:ascii="Arial" w:hAnsi="Arial" w:cs="Arial"/>
          <w:b/>
          <w:bCs/>
          <w:sz w:val="24"/>
          <w:szCs w:val="24"/>
        </w:rPr>
        <w:t xml:space="preserve"> </w:t>
      </w:r>
      <w:r w:rsidR="000718BC">
        <w:rPr>
          <w:rFonts w:ascii="Arial" w:hAnsi="Arial" w:cs="Arial"/>
          <w:b/>
          <w:bCs/>
          <w:sz w:val="24"/>
          <w:szCs w:val="24"/>
        </w:rPr>
        <w:t>for</w:t>
      </w:r>
      <w:r w:rsidR="00B26848" w:rsidRPr="000718BC">
        <w:rPr>
          <w:rFonts w:ascii="Arial" w:hAnsi="Arial" w:cs="Arial"/>
          <w:b/>
          <w:bCs/>
          <w:sz w:val="24"/>
          <w:szCs w:val="24"/>
        </w:rPr>
        <w:t xml:space="preserve"> mobile IAB</w:t>
      </w:r>
    </w:p>
    <w:p w14:paraId="25F387E8" w14:textId="45B40DE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F467D" w:rsidRPr="00541CA4">
        <w:rPr>
          <w:rFonts w:ascii="Arial" w:hAnsi="Arial" w:cs="Arial"/>
          <w:b/>
          <w:bCs/>
          <w:sz w:val="24"/>
        </w:rPr>
        <w:t>NR_mobile_IAB</w:t>
      </w:r>
      <w:proofErr w:type="spellEnd"/>
      <w:r w:rsidR="00BF467D" w:rsidRPr="00541CA4">
        <w:rPr>
          <w:rFonts w:ascii="Arial" w:hAnsi="Arial" w:cs="Arial"/>
          <w:b/>
          <w:bCs/>
          <w:sz w:val="24"/>
        </w:rPr>
        <w:t>-Core</w:t>
      </w:r>
      <w:r w:rsidR="00BF467D" w:rsidRPr="00112F1A">
        <w:rPr>
          <w:rFonts w:ascii="Arial" w:hAnsi="Arial" w:cs="Arial"/>
          <w:b/>
          <w:bCs/>
          <w:sz w:val="24"/>
        </w:rPr>
        <w:t xml:space="preserve"> </w:t>
      </w:r>
      <w:r w:rsidR="00BF467D">
        <w:rPr>
          <w:rFonts w:ascii="Arial" w:hAnsi="Arial" w:cs="Arial"/>
          <w:b/>
          <w:bCs/>
          <w:sz w:val="24"/>
        </w:rPr>
        <w:t>-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5318868" w14:textId="6B533F24" w:rsidR="00BF467D" w:rsidRDefault="00282E06" w:rsidP="00282E06">
      <w:pPr>
        <w:spacing w:after="0"/>
      </w:pPr>
      <w:r>
        <w:t xml:space="preserve">In this contribution, we discuss </w:t>
      </w:r>
      <w:r w:rsidR="00EA1470">
        <w:t xml:space="preserve">several </w:t>
      </w:r>
      <w:r w:rsidR="002E05FC">
        <w:t xml:space="preserve">connected mode </w:t>
      </w:r>
      <w:r w:rsidR="006E09C0">
        <w:t xml:space="preserve">issues </w:t>
      </w:r>
      <w:r w:rsidR="0097477F">
        <w:t>for Rel-18</w:t>
      </w:r>
      <w:r w:rsidR="002E05FC">
        <w:t xml:space="preserve"> mobile IAB</w:t>
      </w:r>
      <w:r w:rsidR="00E15F1B">
        <w:t xml:space="preserve">: </w:t>
      </w:r>
      <w:r w:rsidR="00C46C32">
        <w:t xml:space="preserve">issues related to </w:t>
      </w:r>
      <w:r w:rsidR="00E15F1B">
        <w:t>RACH-less handover</w:t>
      </w:r>
      <w:r w:rsidR="00C46C32">
        <w:t xml:space="preserve"> beam indication</w:t>
      </w:r>
      <w:r w:rsidR="00E15F1B">
        <w:t xml:space="preserve"> </w:t>
      </w:r>
      <w:r w:rsidR="000F34CF">
        <w:t xml:space="preserve">for </w:t>
      </w:r>
      <w:r w:rsidR="00244AF5">
        <w:t>on-board UEs</w:t>
      </w:r>
      <w:r w:rsidR="000F34CF">
        <w:t>, whether to support c</w:t>
      </w:r>
      <w:r w:rsidR="00E15F1B">
        <w:t xml:space="preserve">onditional handover of </w:t>
      </w:r>
      <w:r w:rsidR="000F34CF">
        <w:t xml:space="preserve">on-board </w:t>
      </w:r>
      <w:r w:rsidR="00E15F1B">
        <w:t>UEs</w:t>
      </w:r>
      <w:r w:rsidR="000F34CF">
        <w:t>,</w:t>
      </w:r>
      <w:r w:rsidR="00E15F1B">
        <w:t xml:space="preserve"> and </w:t>
      </w:r>
      <w:r w:rsidR="00F75BEC">
        <w:t>avoiding</w:t>
      </w:r>
      <w:r w:rsidR="000F34CF">
        <w:t xml:space="preserve"> unnecessary handover </w:t>
      </w:r>
      <w:r w:rsidR="00E15F1B">
        <w:t xml:space="preserve">measurements </w:t>
      </w:r>
      <w:r w:rsidR="006A39F0">
        <w:t>at</w:t>
      </w:r>
      <w:r w:rsidR="002E05FC">
        <w:t xml:space="preserve"> mobile IAB nodes.</w:t>
      </w:r>
    </w:p>
    <w:p w14:paraId="7D484B6E" w14:textId="43534EA4" w:rsidR="009339CB" w:rsidRPr="006E13D1" w:rsidRDefault="009339CB" w:rsidP="009339CB">
      <w:pPr>
        <w:pStyle w:val="Heading1"/>
      </w:pPr>
      <w:r w:rsidRPr="006E13D1">
        <w:t>2</w:t>
      </w:r>
      <w:r w:rsidRPr="006E13D1">
        <w:tab/>
      </w:r>
      <w:r w:rsidR="00BF467D">
        <w:t>Discussion</w:t>
      </w:r>
    </w:p>
    <w:p w14:paraId="0CAEC25C" w14:textId="50C1F6D2" w:rsidR="00B4349D" w:rsidRDefault="007855CA" w:rsidP="009339CB">
      <w:pPr>
        <w:pStyle w:val="Heading2"/>
      </w:pPr>
      <w:r>
        <w:t>2.1</w:t>
      </w:r>
      <w:r w:rsidRPr="006E13D1">
        <w:tab/>
      </w:r>
      <w:r w:rsidR="008E3F9D">
        <w:t xml:space="preserve">RACH-less handover </w:t>
      </w:r>
      <w:r w:rsidR="007766D1">
        <w:t>for UEs on</w:t>
      </w:r>
      <w:r w:rsidR="00E15F1B">
        <w:t xml:space="preserve"> </w:t>
      </w:r>
      <w:r w:rsidR="007766D1">
        <w:t>board mobile IAB</w:t>
      </w:r>
    </w:p>
    <w:p w14:paraId="0397DB8E" w14:textId="1A49C2C9" w:rsidR="007766D1" w:rsidRDefault="007766D1" w:rsidP="00DE294E">
      <w:r>
        <w:t>Below we list the relevant agreements RAN2 has made on RACH-less handover for mobile IAB</w:t>
      </w:r>
      <w:r w:rsidR="00CA07A6">
        <w:t>.</w:t>
      </w:r>
    </w:p>
    <w:p w14:paraId="450A9E4B" w14:textId="77777777" w:rsidR="00EA1470" w:rsidRDefault="00EA1470" w:rsidP="00EA1470">
      <w:r>
        <w:rPr>
          <w:noProof/>
        </w:rPr>
        <mc:AlternateContent>
          <mc:Choice Requires="wps">
            <w:drawing>
              <wp:anchor distT="45720" distB="45720" distL="114300" distR="114300" simplePos="0" relativeHeight="251659264" behindDoc="0" locked="0" layoutInCell="1" allowOverlap="1" wp14:anchorId="2636E419" wp14:editId="22D94DC1">
                <wp:simplePos x="0" y="0"/>
                <wp:positionH relativeFrom="margin">
                  <wp:align>right</wp:align>
                </wp:positionH>
                <wp:positionV relativeFrom="paragraph">
                  <wp:posOffset>200660</wp:posOffset>
                </wp:positionV>
                <wp:extent cx="5934075" cy="1404620"/>
                <wp:effectExtent l="0" t="0" r="2857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631D00EF" w14:textId="77777777" w:rsidR="00EA1470" w:rsidRPr="00787664" w:rsidRDefault="00EA1470" w:rsidP="00EA1470">
                            <w:pPr>
                              <w:numPr>
                                <w:ilvl w:val="0"/>
                                <w:numId w:val="8"/>
                              </w:numPr>
                              <w:tabs>
                                <w:tab w:val="clear" w:pos="720"/>
                                <w:tab w:val="num" w:pos="360"/>
                              </w:tabs>
                              <w:spacing w:before="60" w:after="0"/>
                              <w:ind w:left="360"/>
                              <w:textAlignment w:val="center"/>
                              <w:rPr>
                                <w:rFonts w:ascii="Arial" w:hAnsi="Arial" w:cs="Arial"/>
                                <w:b/>
                                <w:bCs/>
                              </w:rPr>
                            </w:pPr>
                            <w:r w:rsidRPr="00787664">
                              <w:rPr>
                                <w:rFonts w:ascii="Arial" w:hAnsi="Arial" w:cs="Arial"/>
                                <w:b/>
                                <w:bCs/>
                              </w:rPr>
                              <w:t xml:space="preserve">Feasibility of beam handling during RACH-less HO in the </w:t>
                            </w:r>
                            <w:proofErr w:type="spellStart"/>
                            <w:r w:rsidRPr="00787664">
                              <w:rPr>
                                <w:rFonts w:ascii="Arial" w:hAnsi="Arial" w:cs="Arial"/>
                                <w:b/>
                                <w:bCs/>
                              </w:rPr>
                              <w:t>mIAB</w:t>
                            </w:r>
                            <w:proofErr w:type="spellEnd"/>
                            <w:r w:rsidRPr="00787664">
                              <w:rPr>
                                <w:rFonts w:ascii="Arial" w:hAnsi="Arial" w:cs="Arial"/>
                                <w:b/>
                                <w:bCs/>
                              </w:rPr>
                              <w:t xml:space="preserve"> WI is FFS (and this need to be addressed for RACH-less to be supported for </w:t>
                            </w:r>
                            <w:proofErr w:type="spellStart"/>
                            <w:r w:rsidRPr="00787664">
                              <w:rPr>
                                <w:rFonts w:ascii="Arial" w:hAnsi="Arial" w:cs="Arial"/>
                                <w:b/>
                                <w:bCs/>
                              </w:rPr>
                              <w:t>mIAB</w:t>
                            </w:r>
                            <w:proofErr w:type="spellEnd"/>
                            <w:r w:rsidRPr="00787664">
                              <w:rPr>
                                <w:rFonts w:ascii="Arial" w:hAnsi="Arial" w:cs="Arial"/>
                                <w:b/>
                                <w:bCs/>
                              </w:rPr>
                              <w:t xml:space="preserve">). </w:t>
                            </w:r>
                          </w:p>
                          <w:p w14:paraId="6AB9AD0F" w14:textId="77777777" w:rsidR="00EA1470" w:rsidRDefault="00EA1470" w:rsidP="00EA1470">
                            <w:pPr>
                              <w:numPr>
                                <w:ilvl w:val="0"/>
                                <w:numId w:val="8"/>
                              </w:numPr>
                              <w:tabs>
                                <w:tab w:val="clear" w:pos="720"/>
                                <w:tab w:val="num" w:pos="360"/>
                              </w:tabs>
                              <w:spacing w:before="60" w:after="0"/>
                              <w:ind w:left="360"/>
                              <w:textAlignment w:val="center"/>
                              <w:rPr>
                                <w:rFonts w:ascii="Arial" w:hAnsi="Arial" w:cs="Arial"/>
                                <w:b/>
                                <w:bCs/>
                              </w:rPr>
                            </w:pPr>
                            <w:r w:rsidRPr="00787664">
                              <w:rPr>
                                <w:rFonts w:ascii="Arial" w:hAnsi="Arial" w:cs="Arial"/>
                                <w:b/>
                                <w:bCs/>
                              </w:rPr>
                              <w:t>RAN2 discuss further the following options to support beam operation for the first UL transmission/DL reception towards the target logical DU in RACH-less HO during DU migration:</w:t>
                            </w:r>
                          </w:p>
                          <w:p w14:paraId="7031094A" w14:textId="77777777" w:rsidR="00EA1470" w:rsidRPr="00787664" w:rsidRDefault="00EA1470" w:rsidP="00EA1470">
                            <w:pPr>
                              <w:spacing w:before="60" w:after="0"/>
                              <w:ind w:left="360"/>
                              <w:textAlignment w:val="center"/>
                              <w:rPr>
                                <w:rFonts w:ascii="Arial" w:hAnsi="Arial" w:cs="Arial"/>
                                <w:b/>
                                <w:bCs/>
                              </w:rPr>
                            </w:pPr>
                            <w:r w:rsidRPr="00787664">
                              <w:rPr>
                                <w:rFonts w:ascii="Arial" w:hAnsi="Arial" w:cs="Arial"/>
                                <w:b/>
                                <w:bCs/>
                              </w:rPr>
                              <w:t xml:space="preserve">Option 1: (Explicit approach) Explicit beam information is included in HO command. FFS the details. </w:t>
                            </w:r>
                          </w:p>
                          <w:p w14:paraId="243E4ADB" w14:textId="77777777" w:rsidR="00EA1470" w:rsidRDefault="00EA1470" w:rsidP="00EA1470">
                            <w:pPr>
                              <w:spacing w:before="60" w:after="0"/>
                              <w:ind w:left="360"/>
                              <w:textAlignment w:val="center"/>
                              <w:rPr>
                                <w:rFonts w:ascii="Arial" w:hAnsi="Arial" w:cs="Arial"/>
                                <w:b/>
                                <w:bCs/>
                              </w:rPr>
                            </w:pPr>
                            <w:r w:rsidRPr="00787664">
                              <w:rPr>
                                <w:rFonts w:ascii="Arial" w:hAnsi="Arial" w:cs="Arial"/>
                                <w:b/>
                                <w:bCs/>
                              </w:rPr>
                              <w:t>Option 2: (Implicit approach) UE re-uses the same beam status as in the source cell (the beam information is not carried explicitly in HO command).</w:t>
                            </w:r>
                          </w:p>
                          <w:p w14:paraId="04CA677D" w14:textId="77777777" w:rsidR="00EA1470" w:rsidRDefault="00EA1470" w:rsidP="00EA1470">
                            <w:pPr>
                              <w:numPr>
                                <w:ilvl w:val="0"/>
                                <w:numId w:val="8"/>
                              </w:numPr>
                              <w:tabs>
                                <w:tab w:val="clear" w:pos="720"/>
                                <w:tab w:val="num" w:pos="360"/>
                              </w:tabs>
                              <w:spacing w:before="60" w:after="0"/>
                              <w:ind w:left="360"/>
                              <w:textAlignment w:val="center"/>
                            </w:pPr>
                            <w:r w:rsidRPr="00787664">
                              <w:rPr>
                                <w:rFonts w:ascii="Arial" w:hAnsi="Arial" w:cs="Arial"/>
                                <w:b/>
                                <w:bCs/>
                              </w:rPr>
                              <w:t xml:space="preserve">RACH-less HO with same TA with security key change is in scope for served UEs during </w:t>
                            </w:r>
                            <w:proofErr w:type="spellStart"/>
                            <w:r w:rsidRPr="00787664">
                              <w:rPr>
                                <w:rFonts w:ascii="Arial" w:hAnsi="Arial" w:cs="Arial"/>
                                <w:b/>
                                <w:bCs/>
                              </w:rPr>
                              <w:t>mIAB</w:t>
                            </w:r>
                            <w:proofErr w:type="spellEnd"/>
                            <w:r w:rsidRPr="00787664">
                              <w:rPr>
                                <w:rFonts w:ascii="Arial" w:hAnsi="Arial" w:cs="Arial"/>
                                <w:b/>
                                <w:bCs/>
                              </w:rPr>
                              <w:t xml:space="preserve"> DU migration. FFS UL grant and HO completion procedure in </w:t>
                            </w:r>
                            <w:proofErr w:type="spellStart"/>
                            <w:r w:rsidRPr="00787664">
                              <w:rPr>
                                <w:rFonts w:ascii="Arial" w:hAnsi="Arial" w:cs="Arial"/>
                                <w:b/>
                                <w:bCs/>
                              </w:rPr>
                              <w:t>mIAB</w:t>
                            </w:r>
                            <w:proofErr w:type="spellEnd"/>
                            <w:r w:rsidRPr="00787664">
                              <w:rPr>
                                <w:rFonts w:ascii="Arial" w:hAnsi="Arial" w:cs="Arial"/>
                                <w:b/>
                                <w:bCs/>
                              </w:rPr>
                              <w:t xml:space="preserve"> RACH-less HO</w:t>
                            </w:r>
                            <w:r>
                              <w:rPr>
                                <w:rFonts w:ascii="Arial" w:hAnsi="Arial" w:cs="Arial"/>
                                <w:b/>
                                <w:bC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36E419" id="_x0000_t202" coordsize="21600,21600" o:spt="202" path="m,l,21600r21600,l21600,xe">
                <v:stroke joinstyle="miter"/>
                <v:path gradientshapeok="t" o:connecttype="rect"/>
              </v:shapetype>
              <v:shape id="Text Box 2" o:spid="_x0000_s1026" type="#_x0000_t202" style="position:absolute;margin-left:416.05pt;margin-top:15.8pt;width:467.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">
                <v:textbox style="mso-fit-shape-to-text:t">
                  <w:txbxContent>
                    <w:p w14:paraId="631D00EF" w14:textId="77777777" w:rsidR="00EA1470" w:rsidRPr="00787664" w:rsidRDefault="00EA1470" w:rsidP="00EA1470">
                      <w:pPr>
                        <w:numPr>
                          <w:ilvl w:val="0"/>
                          <w:numId w:val="8"/>
                        </w:numPr>
                        <w:tabs>
                          <w:tab w:val="clear" w:pos="720"/>
                          <w:tab w:val="num" w:pos="360"/>
                        </w:tabs>
                        <w:spacing w:before="60" w:after="0"/>
                        <w:ind w:left="360"/>
                        <w:textAlignment w:val="center"/>
                        <w:rPr>
                          <w:rFonts w:ascii="Arial" w:hAnsi="Arial" w:cs="Arial"/>
                          <w:b/>
                          <w:bCs/>
                        </w:rPr>
                      </w:pPr>
                      <w:r w:rsidRPr="00787664">
                        <w:rPr>
                          <w:rFonts w:ascii="Arial" w:hAnsi="Arial" w:cs="Arial"/>
                          <w:b/>
                          <w:bCs/>
                        </w:rPr>
                        <w:t xml:space="preserve">Feasibility of beam handling during RACH-less HO in the </w:t>
                      </w:r>
                      <w:proofErr w:type="spellStart"/>
                      <w:r w:rsidRPr="00787664">
                        <w:rPr>
                          <w:rFonts w:ascii="Arial" w:hAnsi="Arial" w:cs="Arial"/>
                          <w:b/>
                          <w:bCs/>
                        </w:rPr>
                        <w:t>mIAB</w:t>
                      </w:r>
                      <w:proofErr w:type="spellEnd"/>
                      <w:r w:rsidRPr="00787664">
                        <w:rPr>
                          <w:rFonts w:ascii="Arial" w:hAnsi="Arial" w:cs="Arial"/>
                          <w:b/>
                          <w:bCs/>
                        </w:rPr>
                        <w:t xml:space="preserve"> WI is FFS (and this need to be addressed for RACH-less to be supported for </w:t>
                      </w:r>
                      <w:proofErr w:type="spellStart"/>
                      <w:r w:rsidRPr="00787664">
                        <w:rPr>
                          <w:rFonts w:ascii="Arial" w:hAnsi="Arial" w:cs="Arial"/>
                          <w:b/>
                          <w:bCs/>
                        </w:rPr>
                        <w:t>mIAB</w:t>
                      </w:r>
                      <w:proofErr w:type="spellEnd"/>
                      <w:r w:rsidRPr="00787664">
                        <w:rPr>
                          <w:rFonts w:ascii="Arial" w:hAnsi="Arial" w:cs="Arial"/>
                          <w:b/>
                          <w:bCs/>
                        </w:rPr>
                        <w:t xml:space="preserve">). </w:t>
                      </w:r>
                    </w:p>
                    <w:p w14:paraId="6AB9AD0F" w14:textId="77777777" w:rsidR="00EA1470" w:rsidRDefault="00EA1470" w:rsidP="00EA1470">
                      <w:pPr>
                        <w:numPr>
                          <w:ilvl w:val="0"/>
                          <w:numId w:val="8"/>
                        </w:numPr>
                        <w:tabs>
                          <w:tab w:val="clear" w:pos="720"/>
                          <w:tab w:val="num" w:pos="360"/>
                        </w:tabs>
                        <w:spacing w:before="60" w:after="0"/>
                        <w:ind w:left="360"/>
                        <w:textAlignment w:val="center"/>
                        <w:rPr>
                          <w:rFonts w:ascii="Arial" w:hAnsi="Arial" w:cs="Arial"/>
                          <w:b/>
                          <w:bCs/>
                        </w:rPr>
                      </w:pPr>
                      <w:r w:rsidRPr="00787664">
                        <w:rPr>
                          <w:rFonts w:ascii="Arial" w:hAnsi="Arial" w:cs="Arial"/>
                          <w:b/>
                          <w:bCs/>
                        </w:rPr>
                        <w:t>RAN2 discuss further the following options to support beam operation for the first UL transmission/DL reception towards the target logical DU in RACH-less HO during DU migration:</w:t>
                      </w:r>
                    </w:p>
                    <w:p w14:paraId="7031094A" w14:textId="77777777" w:rsidR="00EA1470" w:rsidRPr="00787664" w:rsidRDefault="00EA1470" w:rsidP="00EA1470">
                      <w:pPr>
                        <w:spacing w:before="60" w:after="0"/>
                        <w:ind w:left="360"/>
                        <w:textAlignment w:val="center"/>
                        <w:rPr>
                          <w:rFonts w:ascii="Arial" w:hAnsi="Arial" w:cs="Arial"/>
                          <w:b/>
                          <w:bCs/>
                        </w:rPr>
                      </w:pPr>
                      <w:r w:rsidRPr="00787664">
                        <w:rPr>
                          <w:rFonts w:ascii="Arial" w:hAnsi="Arial" w:cs="Arial"/>
                          <w:b/>
                          <w:bCs/>
                        </w:rPr>
                        <w:t xml:space="preserve">Option 1: (Explicit approach) Explicit beam information is included in HO command. FFS the details. </w:t>
                      </w:r>
                    </w:p>
                    <w:p w14:paraId="243E4ADB" w14:textId="77777777" w:rsidR="00EA1470" w:rsidRDefault="00EA1470" w:rsidP="00EA1470">
                      <w:pPr>
                        <w:spacing w:before="60" w:after="0"/>
                        <w:ind w:left="360"/>
                        <w:textAlignment w:val="center"/>
                        <w:rPr>
                          <w:rFonts w:ascii="Arial" w:hAnsi="Arial" w:cs="Arial"/>
                          <w:b/>
                          <w:bCs/>
                        </w:rPr>
                      </w:pPr>
                      <w:r w:rsidRPr="00787664">
                        <w:rPr>
                          <w:rFonts w:ascii="Arial" w:hAnsi="Arial" w:cs="Arial"/>
                          <w:b/>
                          <w:bCs/>
                        </w:rPr>
                        <w:t>Option 2: (Implicit approach) UE re-uses the same beam status as in the source cell (the beam information is not carried explicitly in HO command).</w:t>
                      </w:r>
                    </w:p>
                    <w:p w14:paraId="04CA677D" w14:textId="77777777" w:rsidR="00EA1470" w:rsidRDefault="00EA1470" w:rsidP="00EA1470">
                      <w:pPr>
                        <w:numPr>
                          <w:ilvl w:val="0"/>
                          <w:numId w:val="8"/>
                        </w:numPr>
                        <w:tabs>
                          <w:tab w:val="clear" w:pos="720"/>
                          <w:tab w:val="num" w:pos="360"/>
                        </w:tabs>
                        <w:spacing w:before="60" w:after="0"/>
                        <w:ind w:left="360"/>
                        <w:textAlignment w:val="center"/>
                      </w:pPr>
                      <w:r w:rsidRPr="00787664">
                        <w:rPr>
                          <w:rFonts w:ascii="Arial" w:hAnsi="Arial" w:cs="Arial"/>
                          <w:b/>
                          <w:bCs/>
                        </w:rPr>
                        <w:t xml:space="preserve">RACH-less HO with same TA with security key change is in scope for served UEs during </w:t>
                      </w:r>
                      <w:proofErr w:type="spellStart"/>
                      <w:r w:rsidRPr="00787664">
                        <w:rPr>
                          <w:rFonts w:ascii="Arial" w:hAnsi="Arial" w:cs="Arial"/>
                          <w:b/>
                          <w:bCs/>
                        </w:rPr>
                        <w:t>mIAB</w:t>
                      </w:r>
                      <w:proofErr w:type="spellEnd"/>
                      <w:r w:rsidRPr="00787664">
                        <w:rPr>
                          <w:rFonts w:ascii="Arial" w:hAnsi="Arial" w:cs="Arial"/>
                          <w:b/>
                          <w:bCs/>
                        </w:rPr>
                        <w:t xml:space="preserve"> DU migration. FFS UL grant and HO completion procedure in </w:t>
                      </w:r>
                      <w:proofErr w:type="spellStart"/>
                      <w:r w:rsidRPr="00787664">
                        <w:rPr>
                          <w:rFonts w:ascii="Arial" w:hAnsi="Arial" w:cs="Arial"/>
                          <w:b/>
                          <w:bCs/>
                        </w:rPr>
                        <w:t>mIAB</w:t>
                      </w:r>
                      <w:proofErr w:type="spellEnd"/>
                      <w:r w:rsidRPr="00787664">
                        <w:rPr>
                          <w:rFonts w:ascii="Arial" w:hAnsi="Arial" w:cs="Arial"/>
                          <w:b/>
                          <w:bCs/>
                        </w:rPr>
                        <w:t xml:space="preserve"> RACH-less HO</w:t>
                      </w:r>
                      <w:r>
                        <w:rPr>
                          <w:rFonts w:ascii="Arial" w:hAnsi="Arial" w:cs="Arial"/>
                          <w:b/>
                          <w:bCs/>
                        </w:rPr>
                        <w:t>.</w:t>
                      </w:r>
                    </w:p>
                  </w:txbxContent>
                </v:textbox>
                <w10:wrap type="topAndBottom" anchorx="margin"/>
              </v:shape>
            </w:pict>
          </mc:Fallback>
        </mc:AlternateContent>
      </w:r>
      <w:r>
        <w:t>RAN2#121bis:</w:t>
      </w:r>
    </w:p>
    <w:p w14:paraId="43677179" w14:textId="77777777" w:rsidR="00EA1470" w:rsidRDefault="00EA1470" w:rsidP="00EA1470">
      <w:r>
        <w:rPr>
          <w:noProof/>
        </w:rPr>
        <mc:AlternateContent>
          <mc:Choice Requires="wps">
            <w:drawing>
              <wp:anchor distT="45720" distB="45720" distL="114300" distR="114300" simplePos="0" relativeHeight="251660288" behindDoc="0" locked="0" layoutInCell="1" allowOverlap="1" wp14:anchorId="0588A136" wp14:editId="659D3BA7">
                <wp:simplePos x="0" y="0"/>
                <wp:positionH relativeFrom="margin">
                  <wp:align>right</wp:align>
                </wp:positionH>
                <wp:positionV relativeFrom="paragraph">
                  <wp:posOffset>2145665</wp:posOffset>
                </wp:positionV>
                <wp:extent cx="5934075" cy="1404620"/>
                <wp:effectExtent l="0" t="0" r="2857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292E9349" w14:textId="77777777" w:rsidR="00EA1470" w:rsidRPr="00F738C4" w:rsidRDefault="00EA1470" w:rsidP="00EA1470">
                            <w:pPr>
                              <w:pStyle w:val="Agreement"/>
                              <w:numPr>
                                <w:ilvl w:val="0"/>
                                <w:numId w:val="8"/>
                              </w:numPr>
                              <w:tabs>
                                <w:tab w:val="clear" w:pos="720"/>
                                <w:tab w:val="num" w:pos="360"/>
                                <w:tab w:val="num" w:pos="1619"/>
                              </w:tabs>
                              <w:ind w:left="360"/>
                            </w:pPr>
                            <w:r w:rsidRPr="00F738C4">
                              <w:t>RAN2 think that to have a fast handover from UE point of view for legacy UEs it is important that the target cell is known to the UE (detected and measured).</w:t>
                            </w:r>
                          </w:p>
                          <w:p w14:paraId="7AD527FD" w14:textId="77777777" w:rsidR="00EA1470" w:rsidRPr="00F738C4" w:rsidRDefault="00EA1470" w:rsidP="00EA1470">
                            <w:pPr>
                              <w:pStyle w:val="Agreement"/>
                              <w:numPr>
                                <w:ilvl w:val="0"/>
                                <w:numId w:val="8"/>
                              </w:numPr>
                              <w:tabs>
                                <w:tab w:val="clear" w:pos="720"/>
                                <w:tab w:val="num" w:pos="360"/>
                                <w:tab w:val="num" w:pos="1619"/>
                              </w:tabs>
                              <w:ind w:left="360"/>
                            </w:pPr>
                            <w:r w:rsidRPr="00F738C4">
                              <w:t xml:space="preserve">For RACH-less, if supported, there would need to be a beam indication (in RRC HO command), which seems feasible in this release from R2 perspective. R2 assumes that the network can know/select the beam, either from network </w:t>
                            </w:r>
                            <w:proofErr w:type="spellStart"/>
                            <w:r w:rsidRPr="00F738C4">
                              <w:t>impl</w:t>
                            </w:r>
                            <w:proofErr w:type="spellEnd"/>
                            <w:r w:rsidRPr="00F738C4">
                              <w:t xml:space="preserve"> specific knowledge or from UE measurement report (legacy report).</w:t>
                            </w:r>
                          </w:p>
                          <w:p w14:paraId="5E6C1842" w14:textId="77777777" w:rsidR="00EA1470" w:rsidRPr="00F738C4" w:rsidRDefault="00EA1470" w:rsidP="00EA1470">
                            <w:pPr>
                              <w:pStyle w:val="Agreement"/>
                              <w:numPr>
                                <w:ilvl w:val="0"/>
                                <w:numId w:val="8"/>
                              </w:numPr>
                              <w:tabs>
                                <w:tab w:val="clear" w:pos="720"/>
                                <w:tab w:val="num" w:pos="360"/>
                                <w:tab w:val="num" w:pos="1619"/>
                              </w:tabs>
                              <w:ind w:left="360"/>
                              <w:rPr>
                                <w:lang w:eastAsia="en-US"/>
                              </w:rPr>
                            </w:pPr>
                            <w:r w:rsidRPr="00F738C4">
                              <w:rPr>
                                <w:lang w:eastAsia="en-US"/>
                              </w:rPr>
                              <w:t>for the UL grant and HO completion in RACH-less HO:</w:t>
                            </w:r>
                          </w:p>
                          <w:p w14:paraId="73EB85D9" w14:textId="77777777" w:rsidR="00EA1470" w:rsidRPr="00F738C4" w:rsidRDefault="00EA1470" w:rsidP="00EA1470">
                            <w:pPr>
                              <w:pStyle w:val="Agreement"/>
                              <w:numPr>
                                <w:ilvl w:val="0"/>
                                <w:numId w:val="0"/>
                              </w:numPr>
                              <w:ind w:left="1619"/>
                              <w:rPr>
                                <w:lang w:eastAsia="en-US"/>
                              </w:rPr>
                            </w:pPr>
                            <w:r w:rsidRPr="00F738C4">
                              <w:rPr>
                                <w:lang w:eastAsia="en-US"/>
                              </w:rPr>
                              <w:t>1. Both type-1 configured grant and dynamic grant are supported</w:t>
                            </w:r>
                          </w:p>
                          <w:p w14:paraId="2D7AC8EC" w14:textId="77777777" w:rsidR="00EA1470" w:rsidRPr="00F738C4" w:rsidRDefault="00EA1470" w:rsidP="00EA1470">
                            <w:pPr>
                              <w:pStyle w:val="Agreement"/>
                              <w:numPr>
                                <w:ilvl w:val="0"/>
                                <w:numId w:val="0"/>
                              </w:numPr>
                              <w:ind w:left="1619"/>
                            </w:pPr>
                            <w:r w:rsidRPr="00F738C4">
                              <w:rPr>
                                <w:lang w:eastAsia="en-US"/>
                              </w:rPr>
                              <w:t xml:space="preserve">2. FFS handling of supervision timer and when HO is considered successfully complete (expect to align with other WI). </w:t>
                            </w:r>
                          </w:p>
                          <w:p w14:paraId="5A7ADF92" w14:textId="77777777" w:rsidR="00EA1470" w:rsidRDefault="00EA1470" w:rsidP="00EA1470">
                            <w:pPr>
                              <w:pStyle w:val="Agreement"/>
                              <w:numPr>
                                <w:ilvl w:val="0"/>
                                <w:numId w:val="8"/>
                              </w:numPr>
                              <w:tabs>
                                <w:tab w:val="clear" w:pos="720"/>
                                <w:tab w:val="num" w:pos="360"/>
                                <w:tab w:val="num" w:pos="1619"/>
                              </w:tabs>
                              <w:ind w:left="360"/>
                            </w:pPr>
                            <w:r w:rsidRPr="00F738C4">
                              <w:t xml:space="preserve">Send LS to RAN3 to check whether there are issues / feasibility </w:t>
                            </w:r>
                            <w:proofErr w:type="gramStart"/>
                            <w:r w:rsidRPr="00F738C4">
                              <w:t>concerns</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88A136" id="_x0000_s1027" type="#_x0000_t202" style="position:absolute;margin-left:416.05pt;margin-top:168.95pt;width:467.25pt;height:110.6pt;z-index:25166028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">
                <v:textbox style="mso-fit-shape-to-text:t">
                  <w:txbxContent>
                    <w:p w14:paraId="292E9349" w14:textId="77777777" w:rsidR="00EA1470" w:rsidRPr="00F738C4" w:rsidRDefault="00EA1470" w:rsidP="00EA1470">
                      <w:pPr>
                        <w:pStyle w:val="Agreement"/>
                        <w:numPr>
                          <w:ilvl w:val="0"/>
                          <w:numId w:val="8"/>
                        </w:numPr>
                        <w:tabs>
                          <w:tab w:val="clear" w:pos="720"/>
                          <w:tab w:val="num" w:pos="360"/>
                          <w:tab w:val="num" w:pos="1619"/>
                        </w:tabs>
                        <w:ind w:left="360"/>
                      </w:pPr>
                      <w:r w:rsidRPr="00F738C4">
                        <w:t>RAN2 think that to have a fast handover from UE point of view for legacy UEs it is important that the target cell is known to the UE (detected and measured).</w:t>
                      </w:r>
                    </w:p>
                    <w:p w14:paraId="7AD527FD" w14:textId="77777777" w:rsidR="00EA1470" w:rsidRPr="00F738C4" w:rsidRDefault="00EA1470" w:rsidP="00EA1470">
                      <w:pPr>
                        <w:pStyle w:val="Agreement"/>
                        <w:numPr>
                          <w:ilvl w:val="0"/>
                          <w:numId w:val="8"/>
                        </w:numPr>
                        <w:tabs>
                          <w:tab w:val="clear" w:pos="720"/>
                          <w:tab w:val="num" w:pos="360"/>
                          <w:tab w:val="num" w:pos="1619"/>
                        </w:tabs>
                        <w:ind w:left="360"/>
                      </w:pPr>
                      <w:r w:rsidRPr="00F738C4">
                        <w:t xml:space="preserve">For RACH-less, if supported, there would need to be a beam indication (in RRC HO command), which seems feasible in this release from R2 perspective. R2 assumes that the network can know/select the beam, either from network </w:t>
                      </w:r>
                      <w:proofErr w:type="spellStart"/>
                      <w:r w:rsidRPr="00F738C4">
                        <w:t>impl</w:t>
                      </w:r>
                      <w:proofErr w:type="spellEnd"/>
                      <w:r w:rsidRPr="00F738C4">
                        <w:t xml:space="preserve"> specific knowledge or from UE measurement report (legacy report).</w:t>
                      </w:r>
                    </w:p>
                    <w:p w14:paraId="5E6C1842" w14:textId="77777777" w:rsidR="00EA1470" w:rsidRPr="00F738C4" w:rsidRDefault="00EA1470" w:rsidP="00EA1470">
                      <w:pPr>
                        <w:pStyle w:val="Agreement"/>
                        <w:numPr>
                          <w:ilvl w:val="0"/>
                          <w:numId w:val="8"/>
                        </w:numPr>
                        <w:tabs>
                          <w:tab w:val="clear" w:pos="720"/>
                          <w:tab w:val="num" w:pos="360"/>
                          <w:tab w:val="num" w:pos="1619"/>
                        </w:tabs>
                        <w:ind w:left="360"/>
                        <w:rPr>
                          <w:lang w:eastAsia="en-US"/>
                        </w:rPr>
                      </w:pPr>
                      <w:r w:rsidRPr="00F738C4">
                        <w:rPr>
                          <w:lang w:eastAsia="en-US"/>
                        </w:rPr>
                        <w:t>for the UL grant and HO completion in RACH-less HO:</w:t>
                      </w:r>
                    </w:p>
                    <w:p w14:paraId="73EB85D9" w14:textId="77777777" w:rsidR="00EA1470" w:rsidRPr="00F738C4" w:rsidRDefault="00EA1470" w:rsidP="00EA1470">
                      <w:pPr>
                        <w:pStyle w:val="Agreement"/>
                        <w:numPr>
                          <w:ilvl w:val="0"/>
                          <w:numId w:val="0"/>
                        </w:numPr>
                        <w:ind w:left="1619"/>
                        <w:rPr>
                          <w:lang w:eastAsia="en-US"/>
                        </w:rPr>
                      </w:pPr>
                      <w:r w:rsidRPr="00F738C4">
                        <w:rPr>
                          <w:lang w:eastAsia="en-US"/>
                        </w:rPr>
                        <w:t>1. Both type-1 configured grant and dynamic grant are supported</w:t>
                      </w:r>
                    </w:p>
                    <w:p w14:paraId="2D7AC8EC" w14:textId="77777777" w:rsidR="00EA1470" w:rsidRPr="00F738C4" w:rsidRDefault="00EA1470" w:rsidP="00EA1470">
                      <w:pPr>
                        <w:pStyle w:val="Agreement"/>
                        <w:numPr>
                          <w:ilvl w:val="0"/>
                          <w:numId w:val="0"/>
                        </w:numPr>
                        <w:ind w:left="1619"/>
                      </w:pPr>
                      <w:r w:rsidRPr="00F738C4">
                        <w:rPr>
                          <w:lang w:eastAsia="en-US"/>
                        </w:rPr>
                        <w:t xml:space="preserve">2. FFS handling of supervision timer and when HO is considered successfully complete (expect to align with other WI). </w:t>
                      </w:r>
                    </w:p>
                    <w:p w14:paraId="5A7ADF92" w14:textId="77777777" w:rsidR="00EA1470" w:rsidRDefault="00EA1470" w:rsidP="00EA1470">
                      <w:pPr>
                        <w:pStyle w:val="Agreement"/>
                        <w:numPr>
                          <w:ilvl w:val="0"/>
                          <w:numId w:val="8"/>
                        </w:numPr>
                        <w:tabs>
                          <w:tab w:val="clear" w:pos="720"/>
                          <w:tab w:val="num" w:pos="360"/>
                          <w:tab w:val="num" w:pos="1619"/>
                        </w:tabs>
                        <w:ind w:left="360"/>
                      </w:pPr>
                      <w:r w:rsidRPr="00F738C4">
                        <w:t xml:space="preserve">Send LS to RAN3 to check whether there are issues / feasibility </w:t>
                      </w:r>
                      <w:proofErr w:type="gramStart"/>
                      <w:r w:rsidRPr="00F738C4">
                        <w:t>concerns</w:t>
                      </w:r>
                      <w:proofErr w:type="gramEnd"/>
                    </w:p>
                  </w:txbxContent>
                </v:textbox>
                <w10:wrap type="topAndBottom" anchorx="margin"/>
              </v:shape>
            </w:pict>
          </mc:Fallback>
        </mc:AlternateContent>
      </w:r>
      <w:r>
        <w:t>RAN2#122:</w:t>
      </w:r>
    </w:p>
    <w:p w14:paraId="2207E5F2" w14:textId="2EEEB72C" w:rsidR="00BA15D7" w:rsidRDefault="00BA15D7" w:rsidP="00EA1470">
      <w:r>
        <w:rPr>
          <w:noProof/>
        </w:rPr>
        <w:lastRenderedPageBreak/>
        <mc:AlternateContent>
          <mc:Choice Requires="wps">
            <w:drawing>
              <wp:anchor distT="45720" distB="45720" distL="114300" distR="114300" simplePos="0" relativeHeight="251662336" behindDoc="0" locked="0" layoutInCell="1" allowOverlap="1" wp14:anchorId="16F5DA3F" wp14:editId="2394EF7C">
                <wp:simplePos x="0" y="0"/>
                <wp:positionH relativeFrom="margin">
                  <wp:align>right</wp:align>
                </wp:positionH>
                <wp:positionV relativeFrom="paragraph">
                  <wp:posOffset>255270</wp:posOffset>
                </wp:positionV>
                <wp:extent cx="5934075" cy="1404620"/>
                <wp:effectExtent l="0" t="0" r="28575" b="13970"/>
                <wp:wrapTopAndBottom/>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1404620"/>
                        </a:xfrm>
                        <a:prstGeom prst="rect">
                          <a:avLst/>
                        </a:prstGeom>
                        <a:solidFill>
                          <a:srgbClr val="FFFFFF"/>
                        </a:solidFill>
                        <a:ln w="9525">
                          <a:solidFill>
                            <a:srgbClr val="000000"/>
                          </a:solidFill>
                          <a:miter lim="800000"/>
                          <a:headEnd/>
                          <a:tailEnd/>
                        </a:ln>
                      </wps:spPr>
                      <wps:txbx>
                        <w:txbxContent>
                          <w:p w14:paraId="2326009D" w14:textId="731C9C13" w:rsidR="00BA15D7" w:rsidRPr="00F738C4" w:rsidRDefault="00BA15D7" w:rsidP="00BA15D7">
                            <w:pPr>
                              <w:pStyle w:val="Agreement"/>
                              <w:numPr>
                                <w:ilvl w:val="0"/>
                                <w:numId w:val="8"/>
                              </w:numPr>
                              <w:tabs>
                                <w:tab w:val="clear" w:pos="720"/>
                                <w:tab w:val="num" w:pos="360"/>
                                <w:tab w:val="num" w:pos="1619"/>
                              </w:tabs>
                              <w:ind w:left="360"/>
                            </w:pPr>
                            <w:r w:rsidRPr="00F738C4">
                              <w:t>R</w:t>
                            </w:r>
                            <w:r>
                              <w:t xml:space="preserve">ACH-less HO to be supported for UEs connected to a </w:t>
                            </w:r>
                            <w:proofErr w:type="spellStart"/>
                            <w:r>
                              <w:t>mIAB</w:t>
                            </w:r>
                            <w:proofErr w:type="spellEnd"/>
                            <w:r>
                              <w:t xml:space="preserve"> node (intended case: DU migration</w:t>
                            </w:r>
                            <w:r w:rsidRPr="00F738C4">
                              <w:t>)</w:t>
                            </w:r>
                          </w:p>
                          <w:p w14:paraId="03F25D82" w14:textId="15BD0681" w:rsidR="00BA15D7" w:rsidRPr="00F738C4" w:rsidRDefault="00BA15D7" w:rsidP="00BA15D7">
                            <w:pPr>
                              <w:pStyle w:val="Agreement"/>
                              <w:numPr>
                                <w:ilvl w:val="0"/>
                                <w:numId w:val="8"/>
                              </w:numPr>
                              <w:tabs>
                                <w:tab w:val="clear" w:pos="720"/>
                                <w:tab w:val="num" w:pos="360"/>
                                <w:tab w:val="num" w:pos="1619"/>
                              </w:tabs>
                              <w:ind w:left="360"/>
                            </w:pPr>
                            <w:r w:rsidRPr="00F738C4">
                              <w:t>R</w:t>
                            </w:r>
                            <w:r w:rsidR="004237E8">
                              <w:t xml:space="preserve">ACH-less HO for </w:t>
                            </w:r>
                            <w:proofErr w:type="spellStart"/>
                            <w:r w:rsidR="004237E8">
                              <w:t>mIAB</w:t>
                            </w:r>
                            <w:proofErr w:type="spellEnd"/>
                            <w:r w:rsidR="004237E8">
                              <w:t xml:space="preserve"> is expected to reuse most parts from other WI, such as NTN</w:t>
                            </w:r>
                            <w:r w:rsidRPr="00F738C4">
                              <w:t>.</w:t>
                            </w:r>
                          </w:p>
                          <w:p w14:paraId="03F9E8DF" w14:textId="24F38D1A" w:rsidR="00BA15D7" w:rsidRPr="00F738C4" w:rsidRDefault="004237E8" w:rsidP="00BA15D7">
                            <w:pPr>
                              <w:pStyle w:val="Agreement"/>
                              <w:numPr>
                                <w:ilvl w:val="0"/>
                                <w:numId w:val="8"/>
                              </w:numPr>
                              <w:tabs>
                                <w:tab w:val="clear" w:pos="720"/>
                                <w:tab w:val="num" w:pos="360"/>
                                <w:tab w:val="num" w:pos="1619"/>
                              </w:tabs>
                              <w:ind w:left="360"/>
                              <w:rPr>
                                <w:lang w:eastAsia="en-US"/>
                              </w:rPr>
                            </w:pPr>
                            <w:r>
                              <w:rPr>
                                <w:lang w:eastAsia="en-US"/>
                              </w:rPr>
                              <w:t>R</w:t>
                            </w:r>
                            <w:r>
                              <w:t xml:space="preserve">2 assumes that RACH-less HO for </w:t>
                            </w:r>
                            <w:proofErr w:type="spellStart"/>
                            <w:r>
                              <w:t>mIAB</w:t>
                            </w:r>
                            <w:proofErr w:type="spellEnd"/>
                            <w:r>
                              <w:t xml:space="preserve"> can largely adopt the steps of the agreed NTN RACH-less HO procedure</w:t>
                            </w:r>
                            <w:r w:rsidR="00BA15D7" w:rsidRPr="00F738C4">
                              <w:rPr>
                                <w:lang w:eastAsia="en-US"/>
                              </w:rPr>
                              <w:t>:</w:t>
                            </w:r>
                          </w:p>
                          <w:p w14:paraId="5D5B0C45" w14:textId="77777777" w:rsidR="004237E8" w:rsidRDefault="00BA15D7" w:rsidP="004237E8">
                            <w:pPr>
                              <w:pStyle w:val="Agreement"/>
                              <w:numPr>
                                <w:ilvl w:val="0"/>
                                <w:numId w:val="0"/>
                              </w:numPr>
                              <w:ind w:left="1619"/>
                            </w:pPr>
                            <w:r w:rsidRPr="00F738C4">
                              <w:rPr>
                                <w:lang w:eastAsia="en-US"/>
                              </w:rPr>
                              <w:t xml:space="preserve">1. </w:t>
                            </w:r>
                            <w:r w:rsidR="004237E8">
                              <w:t>Receive a RACH-less HO command which can include pre-allocated grant optionally</w:t>
                            </w:r>
                          </w:p>
                          <w:p w14:paraId="08F29201" w14:textId="77777777" w:rsidR="004237E8" w:rsidRDefault="004237E8" w:rsidP="004237E8">
                            <w:pPr>
                              <w:pStyle w:val="Agreement"/>
                              <w:numPr>
                                <w:ilvl w:val="0"/>
                                <w:numId w:val="0"/>
                              </w:numPr>
                              <w:ind w:left="1619"/>
                            </w:pPr>
                            <w:r>
                              <w:t>2. Start time T304 for the target cell (RRC)</w:t>
                            </w:r>
                          </w:p>
                          <w:p w14:paraId="5CD7E928" w14:textId="77777777" w:rsidR="004237E8" w:rsidRDefault="004237E8" w:rsidP="004237E8">
                            <w:pPr>
                              <w:pStyle w:val="Agreement"/>
                              <w:numPr>
                                <w:ilvl w:val="0"/>
                                <w:numId w:val="0"/>
                              </w:numPr>
                              <w:ind w:left="1619"/>
                            </w:pPr>
                            <w:r>
                              <w:t>3. Perform DL and UL synchronization.</w:t>
                            </w:r>
                          </w:p>
                          <w:p w14:paraId="62189798" w14:textId="77777777" w:rsidR="004237E8" w:rsidRDefault="004237E8" w:rsidP="004237E8">
                            <w:pPr>
                              <w:pStyle w:val="Agreement"/>
                              <w:numPr>
                                <w:ilvl w:val="0"/>
                                <w:numId w:val="0"/>
                              </w:numPr>
                              <w:ind w:left="1619"/>
                            </w:pPr>
                            <w:r>
                              <w:t>4. Start time alignment timer (MAC)</w:t>
                            </w:r>
                          </w:p>
                          <w:p w14:paraId="647C89EB" w14:textId="77777777" w:rsidR="004237E8" w:rsidRDefault="004237E8" w:rsidP="004237E8">
                            <w:pPr>
                              <w:pStyle w:val="Agreement"/>
                              <w:numPr>
                                <w:ilvl w:val="0"/>
                                <w:numId w:val="0"/>
                              </w:numPr>
                              <w:ind w:left="1619"/>
                            </w:pPr>
                            <w:r>
                              <w:t>5. Monitor target cell PDCCH for dynamic grant if pre-allocated grant is not configured in RACH-less HO command (MAC, PHY)</w:t>
                            </w:r>
                          </w:p>
                          <w:p w14:paraId="18C3E533" w14:textId="77777777" w:rsidR="004237E8" w:rsidRDefault="004237E8" w:rsidP="004237E8">
                            <w:pPr>
                              <w:pStyle w:val="Agreement"/>
                              <w:numPr>
                                <w:ilvl w:val="0"/>
                                <w:numId w:val="0"/>
                              </w:numPr>
                              <w:ind w:left="1619"/>
                            </w:pPr>
                            <w:r>
                              <w:t xml:space="preserve">6. Send initial UL transmission including </w:t>
                            </w:r>
                            <w:proofErr w:type="spellStart"/>
                            <w:r>
                              <w:t>RRCReconfigurationComplete</w:t>
                            </w:r>
                            <w:proofErr w:type="spellEnd"/>
                            <w:r>
                              <w:t xml:space="preserve"> message using the available UL grant (RRC, MAC, PHY)</w:t>
                            </w:r>
                          </w:p>
                          <w:p w14:paraId="2E3C8D6D" w14:textId="77777777" w:rsidR="004237E8" w:rsidRDefault="004237E8" w:rsidP="004237E8">
                            <w:pPr>
                              <w:pStyle w:val="Agreement"/>
                              <w:numPr>
                                <w:ilvl w:val="0"/>
                                <w:numId w:val="0"/>
                              </w:numPr>
                              <w:ind w:left="1619"/>
                            </w:pPr>
                            <w:r>
                              <w:t>7. Consider RACH-less HO is completed upon receiving NW configuration.</w:t>
                            </w:r>
                          </w:p>
                          <w:p w14:paraId="3FE9A9F8" w14:textId="2F45D248" w:rsidR="00BA15D7" w:rsidRDefault="004237E8" w:rsidP="004237E8">
                            <w:pPr>
                              <w:pStyle w:val="Agreement"/>
                              <w:numPr>
                                <w:ilvl w:val="0"/>
                                <w:numId w:val="0"/>
                              </w:numPr>
                              <w:ind w:left="1619"/>
                            </w:pPr>
                            <w:r>
                              <w:t>8. Stop timer T304 for the target cell (RRC</w:t>
                            </w:r>
                            <w:r w:rsidR="00BA15D7" w:rsidRPr="00F738C4">
                              <w:rPr>
                                <w:lang w:eastAsia="en-US"/>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6F5DA3F" id="Text Box 1" o:spid="_x0000_s1028" type="#_x0000_t202" style="position:absolute;margin-left:416.05pt;margin-top:20.1pt;width:467.25pt;height:110.6pt;z-index:25166233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">
                <v:textbox style="mso-fit-shape-to-text:t">
                  <w:txbxContent>
                    <w:p w14:paraId="2326009D" w14:textId="731C9C13" w:rsidR="00BA15D7" w:rsidRPr="00F738C4" w:rsidRDefault="00BA15D7" w:rsidP="00BA15D7">
                      <w:pPr>
                        <w:pStyle w:val="Agreement"/>
                        <w:numPr>
                          <w:ilvl w:val="0"/>
                          <w:numId w:val="8"/>
                        </w:numPr>
                        <w:tabs>
                          <w:tab w:val="clear" w:pos="720"/>
                          <w:tab w:val="num" w:pos="360"/>
                          <w:tab w:val="num" w:pos="1619"/>
                        </w:tabs>
                        <w:ind w:left="360"/>
                      </w:pPr>
                      <w:r w:rsidRPr="00F738C4">
                        <w:t>R</w:t>
                      </w:r>
                      <w:r>
                        <w:t xml:space="preserve">ACH-less HO to be supported for UEs connected to a </w:t>
                      </w:r>
                      <w:proofErr w:type="spellStart"/>
                      <w:r>
                        <w:t>mIAB</w:t>
                      </w:r>
                      <w:proofErr w:type="spellEnd"/>
                      <w:r>
                        <w:t xml:space="preserve"> node (intended case: DU migration</w:t>
                      </w:r>
                      <w:r w:rsidRPr="00F738C4">
                        <w:t>)</w:t>
                      </w:r>
                    </w:p>
                    <w:p w14:paraId="03F25D82" w14:textId="15BD0681" w:rsidR="00BA15D7" w:rsidRPr="00F738C4" w:rsidRDefault="00BA15D7" w:rsidP="00BA15D7">
                      <w:pPr>
                        <w:pStyle w:val="Agreement"/>
                        <w:numPr>
                          <w:ilvl w:val="0"/>
                          <w:numId w:val="8"/>
                        </w:numPr>
                        <w:tabs>
                          <w:tab w:val="clear" w:pos="720"/>
                          <w:tab w:val="num" w:pos="360"/>
                          <w:tab w:val="num" w:pos="1619"/>
                        </w:tabs>
                        <w:ind w:left="360"/>
                      </w:pPr>
                      <w:r w:rsidRPr="00F738C4">
                        <w:t>R</w:t>
                      </w:r>
                      <w:r w:rsidR="004237E8">
                        <w:t xml:space="preserve">ACH-less HO for </w:t>
                      </w:r>
                      <w:proofErr w:type="spellStart"/>
                      <w:r w:rsidR="004237E8">
                        <w:t>mIAB</w:t>
                      </w:r>
                      <w:proofErr w:type="spellEnd"/>
                      <w:r w:rsidR="004237E8">
                        <w:t xml:space="preserve"> is expected to reuse most parts from other WI, such as NTN</w:t>
                      </w:r>
                      <w:r w:rsidRPr="00F738C4">
                        <w:t>.</w:t>
                      </w:r>
                    </w:p>
                    <w:p w14:paraId="03F9E8DF" w14:textId="24F38D1A" w:rsidR="00BA15D7" w:rsidRPr="00F738C4" w:rsidRDefault="004237E8" w:rsidP="00BA15D7">
                      <w:pPr>
                        <w:pStyle w:val="Agreement"/>
                        <w:numPr>
                          <w:ilvl w:val="0"/>
                          <w:numId w:val="8"/>
                        </w:numPr>
                        <w:tabs>
                          <w:tab w:val="clear" w:pos="720"/>
                          <w:tab w:val="num" w:pos="360"/>
                          <w:tab w:val="num" w:pos="1619"/>
                        </w:tabs>
                        <w:ind w:left="360"/>
                        <w:rPr>
                          <w:lang w:eastAsia="en-US"/>
                        </w:rPr>
                      </w:pPr>
                      <w:r>
                        <w:rPr>
                          <w:lang w:eastAsia="en-US"/>
                        </w:rPr>
                        <w:t>R</w:t>
                      </w:r>
                      <w:r>
                        <w:t xml:space="preserve">2 assumes that RACH-less HO for </w:t>
                      </w:r>
                      <w:proofErr w:type="spellStart"/>
                      <w:r>
                        <w:t>mIAB</w:t>
                      </w:r>
                      <w:proofErr w:type="spellEnd"/>
                      <w:r>
                        <w:t xml:space="preserve"> can largely adopt the steps of the agreed NTN RACH-less HO procedure</w:t>
                      </w:r>
                      <w:r w:rsidR="00BA15D7" w:rsidRPr="00F738C4">
                        <w:rPr>
                          <w:lang w:eastAsia="en-US"/>
                        </w:rPr>
                        <w:t>:</w:t>
                      </w:r>
                    </w:p>
                    <w:p w14:paraId="5D5B0C45" w14:textId="77777777" w:rsidR="004237E8" w:rsidRDefault="00BA15D7" w:rsidP="004237E8">
                      <w:pPr>
                        <w:pStyle w:val="Agreement"/>
                        <w:numPr>
                          <w:ilvl w:val="0"/>
                          <w:numId w:val="0"/>
                        </w:numPr>
                        <w:ind w:left="1619"/>
                      </w:pPr>
                      <w:r w:rsidRPr="00F738C4">
                        <w:rPr>
                          <w:lang w:eastAsia="en-US"/>
                        </w:rPr>
                        <w:t xml:space="preserve">1. </w:t>
                      </w:r>
                      <w:r w:rsidR="004237E8">
                        <w:t>Receive a RACH-less HO command which can include pre-allocated grant optionally</w:t>
                      </w:r>
                    </w:p>
                    <w:p w14:paraId="08F29201" w14:textId="77777777" w:rsidR="004237E8" w:rsidRDefault="004237E8" w:rsidP="004237E8">
                      <w:pPr>
                        <w:pStyle w:val="Agreement"/>
                        <w:numPr>
                          <w:ilvl w:val="0"/>
                          <w:numId w:val="0"/>
                        </w:numPr>
                        <w:ind w:left="1619"/>
                      </w:pPr>
                      <w:r>
                        <w:t>2. Start time T304 for the target cell (RRC)</w:t>
                      </w:r>
                    </w:p>
                    <w:p w14:paraId="5CD7E928" w14:textId="77777777" w:rsidR="004237E8" w:rsidRDefault="004237E8" w:rsidP="004237E8">
                      <w:pPr>
                        <w:pStyle w:val="Agreement"/>
                        <w:numPr>
                          <w:ilvl w:val="0"/>
                          <w:numId w:val="0"/>
                        </w:numPr>
                        <w:ind w:left="1619"/>
                      </w:pPr>
                      <w:r>
                        <w:t>3. Perform DL and UL synchronization.</w:t>
                      </w:r>
                    </w:p>
                    <w:p w14:paraId="62189798" w14:textId="77777777" w:rsidR="004237E8" w:rsidRDefault="004237E8" w:rsidP="004237E8">
                      <w:pPr>
                        <w:pStyle w:val="Agreement"/>
                        <w:numPr>
                          <w:ilvl w:val="0"/>
                          <w:numId w:val="0"/>
                        </w:numPr>
                        <w:ind w:left="1619"/>
                      </w:pPr>
                      <w:r>
                        <w:t>4. Start time alignment timer (MAC)</w:t>
                      </w:r>
                    </w:p>
                    <w:p w14:paraId="647C89EB" w14:textId="77777777" w:rsidR="004237E8" w:rsidRDefault="004237E8" w:rsidP="004237E8">
                      <w:pPr>
                        <w:pStyle w:val="Agreement"/>
                        <w:numPr>
                          <w:ilvl w:val="0"/>
                          <w:numId w:val="0"/>
                        </w:numPr>
                        <w:ind w:left="1619"/>
                      </w:pPr>
                      <w:r>
                        <w:t>5. Monitor target cell PDCCH for dynamic grant if pre-allocated grant is not configured in RACH-less HO command (MAC, PHY)</w:t>
                      </w:r>
                    </w:p>
                    <w:p w14:paraId="18C3E533" w14:textId="77777777" w:rsidR="004237E8" w:rsidRDefault="004237E8" w:rsidP="004237E8">
                      <w:pPr>
                        <w:pStyle w:val="Agreement"/>
                        <w:numPr>
                          <w:ilvl w:val="0"/>
                          <w:numId w:val="0"/>
                        </w:numPr>
                        <w:ind w:left="1619"/>
                      </w:pPr>
                      <w:r>
                        <w:t xml:space="preserve">6. Send initial UL transmission including </w:t>
                      </w:r>
                      <w:proofErr w:type="spellStart"/>
                      <w:r>
                        <w:t>RRCReconfigurationComplete</w:t>
                      </w:r>
                      <w:proofErr w:type="spellEnd"/>
                      <w:r>
                        <w:t xml:space="preserve"> message using the available UL grant (RRC, MAC, PHY)</w:t>
                      </w:r>
                    </w:p>
                    <w:p w14:paraId="2E3C8D6D" w14:textId="77777777" w:rsidR="004237E8" w:rsidRDefault="004237E8" w:rsidP="004237E8">
                      <w:pPr>
                        <w:pStyle w:val="Agreement"/>
                        <w:numPr>
                          <w:ilvl w:val="0"/>
                          <w:numId w:val="0"/>
                        </w:numPr>
                        <w:ind w:left="1619"/>
                      </w:pPr>
                      <w:r>
                        <w:t>7. Consider RACH-less HO is completed upon receiving NW configuration.</w:t>
                      </w:r>
                    </w:p>
                    <w:p w14:paraId="3FE9A9F8" w14:textId="2F45D248" w:rsidR="00BA15D7" w:rsidRDefault="004237E8" w:rsidP="004237E8">
                      <w:pPr>
                        <w:pStyle w:val="Agreement"/>
                        <w:numPr>
                          <w:ilvl w:val="0"/>
                          <w:numId w:val="0"/>
                        </w:numPr>
                        <w:ind w:left="1619"/>
                      </w:pPr>
                      <w:r>
                        <w:t>8. Stop timer T304 for the target cell (RRC</w:t>
                      </w:r>
                      <w:r w:rsidR="00BA15D7" w:rsidRPr="00F738C4">
                        <w:rPr>
                          <w:lang w:eastAsia="en-US"/>
                        </w:rPr>
                        <w:t xml:space="preserve">). </w:t>
                      </w:r>
                    </w:p>
                  </w:txbxContent>
                </v:textbox>
                <w10:wrap type="topAndBottom" anchorx="margin"/>
              </v:shape>
            </w:pict>
          </mc:Fallback>
        </mc:AlternateContent>
      </w:r>
      <w:r>
        <w:t>RAN2#123:</w:t>
      </w:r>
    </w:p>
    <w:p w14:paraId="5254D32A" w14:textId="505FA189" w:rsidR="0040162F" w:rsidRDefault="0040162F" w:rsidP="00A27208">
      <w:r>
        <w:t xml:space="preserve">As discussed in our previous </w:t>
      </w:r>
      <w:r w:rsidR="00374379">
        <w:t xml:space="preserve">contribution </w:t>
      </w:r>
      <w:r w:rsidR="00E32673">
        <w:t>(</w:t>
      </w:r>
      <w:hyperlink r:id="rId13" w:history="1">
        <w:r w:rsidR="00E32673" w:rsidRPr="00E32673">
          <w:rPr>
            <w:rStyle w:val="Hyperlink"/>
          </w:rPr>
          <w:t>R2-2308603</w:t>
        </w:r>
      </w:hyperlink>
      <w:r w:rsidR="00E32673">
        <w:t xml:space="preserve">) </w:t>
      </w:r>
      <w:r w:rsidR="00374379">
        <w:t xml:space="preserve">and in the online discussion at RAN2#123, we think that RAN2 should try to align the </w:t>
      </w:r>
      <w:r w:rsidR="009550BB">
        <w:t xml:space="preserve">mobile IAB </w:t>
      </w:r>
      <w:r w:rsidR="00374379">
        <w:t>RACH-less handover procedure</w:t>
      </w:r>
      <w:r w:rsidR="00946A92">
        <w:t xml:space="preserve"> as much as possible</w:t>
      </w:r>
      <w:r w:rsidR="00374379">
        <w:t xml:space="preserve"> with the </w:t>
      </w:r>
      <w:r w:rsidR="009550BB">
        <w:t>RACH-less procedure being discussed under Rel-18 NTN WI.</w:t>
      </w:r>
    </w:p>
    <w:p w14:paraId="11954ACD" w14:textId="172F604A" w:rsidR="00306E6C" w:rsidRDefault="00946A92" w:rsidP="00A27208">
      <w:r>
        <w:t xml:space="preserve">However, one aspect </w:t>
      </w:r>
      <w:r w:rsidR="009F6EF9">
        <w:t xml:space="preserve">where it is not clear whether the two WIs can be </w:t>
      </w:r>
      <w:r w:rsidR="00751A90">
        <w:t xml:space="preserve">fully </w:t>
      </w:r>
      <w:r w:rsidR="009F6EF9">
        <w:t>aligned is</w:t>
      </w:r>
      <w:r w:rsidR="00A47DA5">
        <w:t xml:space="preserve"> on</w:t>
      </w:r>
      <w:r w:rsidR="009F6EF9">
        <w:t xml:space="preserve"> the beam indication</w:t>
      </w:r>
      <w:r w:rsidR="003C1AB1">
        <w:t xml:space="preserve">, </w:t>
      </w:r>
      <w:r w:rsidR="00F93A7F">
        <w:t xml:space="preserve">in particular, how the target CU </w:t>
      </w:r>
      <w:r w:rsidR="007B6080">
        <w:t xml:space="preserve">should </w:t>
      </w:r>
      <w:r w:rsidR="00F93A7F">
        <w:t xml:space="preserve">determine the </w:t>
      </w:r>
      <w:r w:rsidR="007B6080">
        <w:t>target DU beam to be indicated in the handover command</w:t>
      </w:r>
      <w:r w:rsidR="00B42257">
        <w:t xml:space="preserve">, </w:t>
      </w:r>
      <w:proofErr w:type="gramStart"/>
      <w:r w:rsidR="007C07AD">
        <w:t>e.g.</w:t>
      </w:r>
      <w:proofErr w:type="gramEnd"/>
      <w:r w:rsidR="007C07AD">
        <w:t xml:space="preserve"> based on UE measurements or on blind indication.</w:t>
      </w:r>
      <w:r w:rsidR="00B42257">
        <w:t xml:space="preserve"> </w:t>
      </w:r>
    </w:p>
    <w:p w14:paraId="403DA597" w14:textId="46F95D1A" w:rsidR="00946A92" w:rsidRDefault="00306E6C" w:rsidP="00A27208">
      <w:r>
        <w:t>In</w:t>
      </w:r>
      <w:r w:rsidR="00BD3EB6">
        <w:t xml:space="preserve"> NTN, </w:t>
      </w:r>
      <w:r>
        <w:t>the cell size can be very large and support a massive number of UEs; therefore,</w:t>
      </w:r>
      <w:r w:rsidR="0034647D">
        <w:t xml:space="preserve"> </w:t>
      </w:r>
      <w:r w:rsidR="000A246C">
        <w:t xml:space="preserve">a major </w:t>
      </w:r>
      <w:r w:rsidR="004F4ED9">
        <w:t xml:space="preserve">incentive for supporting RACH-less handover is to </w:t>
      </w:r>
      <w:r w:rsidR="00FB3203">
        <w:t>avoid</w:t>
      </w:r>
      <w:r w:rsidR="004F4ED9">
        <w:t xml:space="preserve"> RACH resource</w:t>
      </w:r>
      <w:r w:rsidR="00BD2475">
        <w:t xml:space="preserve"> overload</w:t>
      </w:r>
      <w:r w:rsidR="004F4ED9">
        <w:t xml:space="preserve"> due to </w:t>
      </w:r>
      <w:r w:rsidR="000A246C">
        <w:t>many</w:t>
      </w:r>
      <w:r w:rsidR="004F4ED9">
        <w:t xml:space="preserve"> UEs </w:t>
      </w:r>
      <w:r w:rsidR="004300DF">
        <w:t>simultaneously trigger</w:t>
      </w:r>
      <w:r>
        <w:t>ing</w:t>
      </w:r>
      <w:r w:rsidR="004300DF">
        <w:t xml:space="preserve"> handover</w:t>
      </w:r>
      <w:r>
        <w:t>. In this situation</w:t>
      </w:r>
      <w:r w:rsidR="005E3844">
        <w:t>,</w:t>
      </w:r>
      <w:r>
        <w:t xml:space="preserve"> allow</w:t>
      </w:r>
      <w:r w:rsidR="005E3844">
        <w:t>ing</w:t>
      </w:r>
      <w:r>
        <w:t xml:space="preserve"> UEs </w:t>
      </w:r>
      <w:r w:rsidR="0052345D">
        <w:t xml:space="preserve">to </w:t>
      </w:r>
      <w:r w:rsidR="005E3844">
        <w:t xml:space="preserve">take </w:t>
      </w:r>
      <w:r w:rsidR="0034647D">
        <w:t>measure</w:t>
      </w:r>
      <w:r w:rsidR="005E3844">
        <w:t>ments</w:t>
      </w:r>
      <w:r w:rsidR="0034647D">
        <w:t xml:space="preserve"> </w:t>
      </w:r>
      <w:r w:rsidR="00BF3CFA">
        <w:t xml:space="preserve">to assist with </w:t>
      </w:r>
      <w:r w:rsidR="005E3844">
        <w:t>the b</w:t>
      </w:r>
      <w:r w:rsidR="00BF3CFA">
        <w:t xml:space="preserve">eam </w:t>
      </w:r>
      <w:r w:rsidR="005E3844">
        <w:t xml:space="preserve">indication could be seen as an acceptable trade-off for </w:t>
      </w:r>
      <w:r w:rsidR="00FB3203">
        <w:t>mitigating RACH congestion</w:t>
      </w:r>
      <w:r w:rsidR="00A61C10">
        <w:t>.</w:t>
      </w:r>
    </w:p>
    <w:p w14:paraId="4E8DF41A" w14:textId="21C951F4" w:rsidR="00A61C10" w:rsidRDefault="00A61C10" w:rsidP="00A27208">
      <w:r>
        <w:t xml:space="preserve">In mobile IAB, </w:t>
      </w:r>
      <w:r w:rsidR="00DB62B3">
        <w:t>however</w:t>
      </w:r>
      <w:r>
        <w:t>, the main incentive</w:t>
      </w:r>
      <w:r w:rsidR="006B79B6">
        <w:t xml:space="preserve"> for supporting RACH-less handover was to minimize the interruption experienced by connected UEs </w:t>
      </w:r>
      <w:r w:rsidR="00593520">
        <w:t xml:space="preserve">during the full migration procedure. In this case, </w:t>
      </w:r>
      <w:r w:rsidR="00BF50E8">
        <w:t xml:space="preserve">requiring UEs to </w:t>
      </w:r>
      <w:r w:rsidR="00DB3058">
        <w:t xml:space="preserve">measure </w:t>
      </w:r>
      <w:r w:rsidR="00856755">
        <w:t xml:space="preserve">and report </w:t>
      </w:r>
      <w:r w:rsidR="00DB3058">
        <w:t xml:space="preserve">the beams of the target DU cell </w:t>
      </w:r>
      <w:r w:rsidR="00E84446">
        <w:t>would introduce additional delays to the procedure</w:t>
      </w:r>
      <w:r w:rsidR="00856755">
        <w:t xml:space="preserve">, potentially offsetting the benefits of adopting a RACH-less approach. Furthermore, </w:t>
      </w:r>
      <w:r w:rsidR="00522E67">
        <w:t xml:space="preserve">the appropriate measurement gaps would also need to be specified, which </w:t>
      </w:r>
      <w:r w:rsidR="005C28AB">
        <w:t>w</w:t>
      </w:r>
      <w:r w:rsidR="003363A5">
        <w:t xml:space="preserve">ould require </w:t>
      </w:r>
      <w:r w:rsidR="005C28AB">
        <w:t>further coordination with RAN4 and possibly with RAN1 (who does not have any TUs allocated to the Rel-18 IAB WI).</w:t>
      </w:r>
    </w:p>
    <w:p w14:paraId="355EC9D7" w14:textId="5895E293" w:rsidR="00F172CA" w:rsidRDefault="00F172CA" w:rsidP="00A27208">
      <w:r w:rsidRPr="007165FF">
        <w:rPr>
          <w:b/>
          <w:bCs/>
        </w:rPr>
        <w:t>Observation 1</w:t>
      </w:r>
      <w:r>
        <w:t xml:space="preserve">: </w:t>
      </w:r>
      <w:r w:rsidR="007165FF">
        <w:t>Relying on UE measurements to determine the beam indications introduces additional delays to the RACH-less handover procedure, which could offset the benefits of RACH-less.</w:t>
      </w:r>
      <w:r w:rsidR="00B06FA9">
        <w:t xml:space="preserve"> Furthermore, RAN4 and RAN1 </w:t>
      </w:r>
      <w:r w:rsidR="002D73B8">
        <w:t>may need to be further involved to specify the procedure</w:t>
      </w:r>
      <w:r w:rsidR="0053517E">
        <w:t xml:space="preserve"> in that case</w:t>
      </w:r>
      <w:r w:rsidR="002D73B8">
        <w:t>.</w:t>
      </w:r>
    </w:p>
    <w:p w14:paraId="464E6C43" w14:textId="2929FAA1" w:rsidR="00592C4B" w:rsidRDefault="005A1B6A" w:rsidP="00A27208">
      <w:r>
        <w:t xml:space="preserve">Therefore, for mobile IAB, there </w:t>
      </w:r>
      <w:r w:rsidR="00F930B9">
        <w:t xml:space="preserve">seems to be some </w:t>
      </w:r>
      <w:r>
        <w:t xml:space="preserve">incentive to </w:t>
      </w:r>
      <w:r w:rsidR="00E44A01">
        <w:t>adopt</w:t>
      </w:r>
      <w:r>
        <w:t xml:space="preserve"> a</w:t>
      </w:r>
      <w:r w:rsidR="007C2F0E">
        <w:t>n</w:t>
      </w:r>
      <w:r w:rsidR="0098128B">
        <w:t xml:space="preserve"> approach based on</w:t>
      </w:r>
      <w:r>
        <w:t xml:space="preserve"> blind </w:t>
      </w:r>
      <w:r w:rsidR="00F930B9">
        <w:t>b</w:t>
      </w:r>
      <w:r>
        <w:t>eam indication</w:t>
      </w:r>
      <w:r w:rsidR="0098128B">
        <w:t>s</w:t>
      </w:r>
      <w:r w:rsidR="00E44A01">
        <w:t xml:space="preserve"> to minimize interruptions and delays for UEs</w:t>
      </w:r>
      <w:r w:rsidR="00DA4863">
        <w:t xml:space="preserve">. </w:t>
      </w:r>
      <w:r w:rsidR="00FE29F0">
        <w:t>In this case, there are additional issues that will need to be considered</w:t>
      </w:r>
      <w:r w:rsidR="00594480">
        <w:t>.</w:t>
      </w:r>
    </w:p>
    <w:p w14:paraId="73FC0DD7" w14:textId="2A3A3CEC" w:rsidR="00DB62B3" w:rsidRDefault="00594480" w:rsidP="00A27208">
      <w:r>
        <w:t>I</w:t>
      </w:r>
      <w:r w:rsidR="00582346">
        <w:t xml:space="preserve">f </w:t>
      </w:r>
      <w:r>
        <w:t xml:space="preserve">the </w:t>
      </w:r>
      <w:r w:rsidR="00582346">
        <w:t xml:space="preserve">blind indication is </w:t>
      </w:r>
      <w:r w:rsidR="0043409A">
        <w:t xml:space="preserve">completely blind/random </w:t>
      </w:r>
      <w:r>
        <w:t xml:space="preserve">and </w:t>
      </w:r>
      <w:r w:rsidR="00C52050" w:rsidRPr="00C52050">
        <w:t>if the indication is too granular, it may result in suboptimal beam selection and cause failed RACH-less HO; alternatively, if the indication is not granular enough, it could require the UE to spend time taking more precise measurements to refine the beam selection</w:t>
      </w:r>
      <w:r w:rsidR="00804E64">
        <w:t>, as in the measurement-based approach discussed above</w:t>
      </w:r>
      <w:r w:rsidR="00592C4B">
        <w:t>; in either case</w:t>
      </w:r>
      <w:r w:rsidR="00E32583">
        <w:t xml:space="preserve">, </w:t>
      </w:r>
      <w:r w:rsidR="00FD66F9">
        <w:t>the</w:t>
      </w:r>
      <w:r w:rsidR="00C52050" w:rsidRPr="00C52050">
        <w:t xml:space="preserve"> benefits of </w:t>
      </w:r>
      <w:r w:rsidR="0019075D">
        <w:t>a totally blind approach seem weak compared to just using a normal R</w:t>
      </w:r>
      <w:r w:rsidR="00C52050" w:rsidRPr="00C52050">
        <w:t>ACH</w:t>
      </w:r>
      <w:r w:rsidR="0019075D">
        <w:t>-based handover</w:t>
      </w:r>
      <w:r w:rsidR="00C52050" w:rsidRPr="00C52050">
        <w:t xml:space="preserve"> procedure.</w:t>
      </w:r>
    </w:p>
    <w:p w14:paraId="6C946B81" w14:textId="40AE8C1A" w:rsidR="0019075D" w:rsidRDefault="00A76349" w:rsidP="00A27208">
      <w:r>
        <w:t>A</w:t>
      </w:r>
      <w:r w:rsidR="00FD66F9">
        <w:t xml:space="preserve"> “smarter” blind handover procedure could </w:t>
      </w:r>
      <w:r w:rsidR="00937B62">
        <w:t xml:space="preserve">possibly be implemented if there is a </w:t>
      </w:r>
      <w:r w:rsidR="00937B62" w:rsidRPr="00F11FC7">
        <w:rPr>
          <w:i/>
          <w:iCs/>
        </w:rPr>
        <w:t xml:space="preserve">known one-to-one </w:t>
      </w:r>
      <w:r w:rsidR="007C2F0E">
        <w:rPr>
          <w:i/>
          <w:iCs/>
        </w:rPr>
        <w:t xml:space="preserve">beam </w:t>
      </w:r>
      <w:r w:rsidR="00F11FC7" w:rsidRPr="00F11FC7">
        <w:rPr>
          <w:i/>
          <w:iCs/>
        </w:rPr>
        <w:t>mapping</w:t>
      </w:r>
      <w:r w:rsidR="00937B62">
        <w:t xml:space="preserve"> between the source and target DU </w:t>
      </w:r>
      <w:r w:rsidR="0051710B">
        <w:t xml:space="preserve">cell </w:t>
      </w:r>
      <w:r w:rsidR="00937B62">
        <w:t>beams</w:t>
      </w:r>
      <w:r w:rsidR="00F11FC7">
        <w:t xml:space="preserve">, </w:t>
      </w:r>
      <w:proofErr w:type="gramStart"/>
      <w:r w:rsidR="00F11FC7">
        <w:t>i.</w:t>
      </w:r>
      <w:r w:rsidR="009E644B">
        <w:t>e.</w:t>
      </w:r>
      <w:proofErr w:type="gramEnd"/>
      <w:r w:rsidR="009E644B">
        <w:t xml:space="preserve"> so that the target </w:t>
      </w:r>
      <w:r w:rsidR="00764438">
        <w:t xml:space="preserve">beam could be known already based on the beam the UE was using in the source cell. </w:t>
      </w:r>
      <w:r w:rsidR="007F224A">
        <w:t xml:space="preserve">In this case, </w:t>
      </w:r>
      <w:r w:rsidR="008F65E0">
        <w:t>the</w:t>
      </w:r>
      <w:r w:rsidR="00507583">
        <w:t xml:space="preserve">re are not any UE issues </w:t>
      </w:r>
      <w:r w:rsidR="008F65E0">
        <w:t>foreseen. However, to support</w:t>
      </w:r>
      <w:r w:rsidR="00507583">
        <w:t xml:space="preserve"> </w:t>
      </w:r>
      <w:r w:rsidR="00185D4C">
        <w:t xml:space="preserve">blind handover based on </w:t>
      </w:r>
      <w:r w:rsidR="00AE77C4">
        <w:t xml:space="preserve">beam mapping, </w:t>
      </w:r>
      <w:r w:rsidR="00372676">
        <w:t>it would need to be considered</w:t>
      </w:r>
      <w:r w:rsidR="008733AD">
        <w:t xml:space="preserve"> how the mapping is determined between DUs</w:t>
      </w:r>
      <w:r w:rsidR="00185D4C">
        <w:t>,</w:t>
      </w:r>
      <w:r w:rsidR="008733AD">
        <w:t xml:space="preserve"> and also how the mapping is informed to the source and target donor CUs</w:t>
      </w:r>
      <w:r w:rsidR="00185D4C">
        <w:t xml:space="preserve"> (</w:t>
      </w:r>
      <w:proofErr w:type="gramStart"/>
      <w:r w:rsidR="00185D4C">
        <w:t>i.e.</w:t>
      </w:r>
      <w:proofErr w:type="gramEnd"/>
      <w:r w:rsidR="00185D4C">
        <w:t xml:space="preserve"> in order to </w:t>
      </w:r>
      <w:r w:rsidR="00070491">
        <w:t>select/indicate the</w:t>
      </w:r>
      <w:r w:rsidR="00185D4C">
        <w:t xml:space="preserve"> beam)</w:t>
      </w:r>
      <w:r w:rsidR="008733AD">
        <w:t>.</w:t>
      </w:r>
      <w:r w:rsidR="00E54FBD">
        <w:t xml:space="preserve"> </w:t>
      </w:r>
      <w:r w:rsidR="00BC47B5">
        <w:t xml:space="preserve">How this is handled </w:t>
      </w:r>
      <w:r w:rsidR="00503DB9">
        <w:t>c</w:t>
      </w:r>
      <w:r w:rsidR="00BC47B5">
        <w:t xml:space="preserve">ould also depend on whether </w:t>
      </w:r>
      <w:r w:rsidR="00503DB9">
        <w:t xml:space="preserve">the IAB-MT is handed over before or after the DU migration procedure, </w:t>
      </w:r>
      <w:proofErr w:type="gramStart"/>
      <w:r w:rsidR="00503DB9">
        <w:t>and also</w:t>
      </w:r>
      <w:proofErr w:type="gramEnd"/>
      <w:r w:rsidR="00503DB9">
        <w:t xml:space="preserve"> whether the IAB-MT is handed over to </w:t>
      </w:r>
      <w:r w:rsidR="008A32BF">
        <w:t>the</w:t>
      </w:r>
      <w:r w:rsidR="00503DB9">
        <w:t xml:space="preserve"> same or </w:t>
      </w:r>
      <w:r w:rsidR="008A32BF">
        <w:t xml:space="preserve">a </w:t>
      </w:r>
      <w:r w:rsidR="00503DB9">
        <w:t>different CU than the</w:t>
      </w:r>
      <w:r w:rsidR="008A32BF">
        <w:t xml:space="preserve"> one</w:t>
      </w:r>
      <w:r w:rsidR="00503DB9">
        <w:t xml:space="preserve"> </w:t>
      </w:r>
      <w:r w:rsidR="008A32BF">
        <w:t xml:space="preserve">acting as a donor for the </w:t>
      </w:r>
      <w:r w:rsidR="00503DB9">
        <w:t>targ</w:t>
      </w:r>
      <w:r w:rsidR="008A32BF">
        <w:t xml:space="preserve">et DU. </w:t>
      </w:r>
      <w:r w:rsidR="004039BC">
        <w:t>RAN3 would need to be involved</w:t>
      </w:r>
      <w:r w:rsidR="008D791B">
        <w:t>, c</w:t>
      </w:r>
      <w:r w:rsidR="004039BC">
        <w:t xml:space="preserve">onsidering the F1AP and </w:t>
      </w:r>
      <w:proofErr w:type="spellStart"/>
      <w:r w:rsidR="004039BC">
        <w:t>XnAP</w:t>
      </w:r>
      <w:proofErr w:type="spellEnd"/>
      <w:r w:rsidR="004039BC">
        <w:t xml:space="preserve"> enhancements that would need to be specified</w:t>
      </w:r>
      <w:r w:rsidR="008D791B">
        <w:t>.</w:t>
      </w:r>
      <w:r w:rsidR="00E54FBD">
        <w:t xml:space="preserve"> </w:t>
      </w:r>
    </w:p>
    <w:p w14:paraId="33FC9879" w14:textId="07F56C82" w:rsidR="007165FF" w:rsidRDefault="007165FF" w:rsidP="00A27208">
      <w:r w:rsidRPr="006E7D94">
        <w:rPr>
          <w:b/>
          <w:bCs/>
        </w:rPr>
        <w:lastRenderedPageBreak/>
        <w:t>Observation 2</w:t>
      </w:r>
      <w:r>
        <w:t xml:space="preserve">: For blind beam indications to be effective, there would need to be a known one-to-one beam mapping between the </w:t>
      </w:r>
      <w:r w:rsidR="002D73B8">
        <w:t>source and target DU cells</w:t>
      </w:r>
      <w:r w:rsidR="00A63DEA">
        <w:t>, which is also informed to the source and target CUs.</w:t>
      </w:r>
      <w:r w:rsidR="002D73B8">
        <w:t xml:space="preserve"> </w:t>
      </w:r>
      <w:r w:rsidR="00A63DEA">
        <w:t>This</w:t>
      </w:r>
      <w:r w:rsidR="002D73B8">
        <w:t xml:space="preserve"> would require RAN3</w:t>
      </w:r>
      <w:r w:rsidR="006E7D94">
        <w:t xml:space="preserve"> to </w:t>
      </w:r>
      <w:r w:rsidR="00A63DEA">
        <w:t xml:space="preserve">specify </w:t>
      </w:r>
      <w:r w:rsidR="006E7D94">
        <w:t xml:space="preserve">F1AP and </w:t>
      </w:r>
      <w:proofErr w:type="spellStart"/>
      <w:r w:rsidR="006E7D94">
        <w:t>XnAP</w:t>
      </w:r>
      <w:proofErr w:type="spellEnd"/>
      <w:r w:rsidR="007F56A0">
        <w:t xml:space="preserve"> enhancements.</w:t>
      </w:r>
    </w:p>
    <w:p w14:paraId="56B94A92" w14:textId="004F47F3" w:rsidR="00663F73" w:rsidRDefault="00663F73" w:rsidP="00A27208">
      <w:r>
        <w:t xml:space="preserve">Therefore, </w:t>
      </w:r>
      <w:r w:rsidR="000A5910">
        <w:t>considering</w:t>
      </w:r>
      <w:r>
        <w:t xml:space="preserve"> RAN2 </w:t>
      </w:r>
      <w:r w:rsidR="000A5910">
        <w:t xml:space="preserve">has now agreed to support RACH-less handover in mobile IAB, it should be discussed </w:t>
      </w:r>
      <w:r w:rsidR="00676E9A">
        <w:t xml:space="preserve">further </w:t>
      </w:r>
      <w:r w:rsidR="000A5910">
        <w:t xml:space="preserve">whether </w:t>
      </w:r>
      <w:r w:rsidR="00676E9A">
        <w:t>RAN2 thinks</w:t>
      </w:r>
      <w:r w:rsidR="0005615F">
        <w:t xml:space="preserve"> it is acceptable for the target cell beam to be determine</w:t>
      </w:r>
      <w:r w:rsidR="00B5475D">
        <w:t>d</w:t>
      </w:r>
      <w:r w:rsidR="0005615F">
        <w:t xml:space="preserve"> based on UE measurements</w:t>
      </w:r>
      <w:r w:rsidR="00C059E9">
        <w:t xml:space="preserve"> or if blind indications need to be supported</w:t>
      </w:r>
      <w:r w:rsidR="0005615F">
        <w:t>.</w:t>
      </w:r>
      <w:r w:rsidR="00C059E9">
        <w:t xml:space="preserve"> In the </w:t>
      </w:r>
      <w:r w:rsidR="00DB62B3">
        <w:t xml:space="preserve">latter case, RAN2 will need to inform RAN3 as there are </w:t>
      </w:r>
      <w:r w:rsidR="008D791B">
        <w:t xml:space="preserve">clear </w:t>
      </w:r>
      <w:r w:rsidR="00DA4863">
        <w:t>RAN3 impacts. It is also noted that RAN3 has still not replied to RAN2’s previous LS regarding feasibility of supporting RACH-less handover; th</w:t>
      </w:r>
      <w:r w:rsidR="00343104">
        <w:t>us</w:t>
      </w:r>
      <w:r w:rsidR="00DA4863">
        <w:t xml:space="preserve">, it </w:t>
      </w:r>
      <w:r w:rsidR="00343104">
        <w:t>is not</w:t>
      </w:r>
      <w:r w:rsidR="00DA4863">
        <w:t xml:space="preserve"> clear </w:t>
      </w:r>
      <w:r w:rsidR="005323FA">
        <w:t>what their views are on this matter</w:t>
      </w:r>
      <w:r w:rsidR="00343104">
        <w:t xml:space="preserve"> based on our previous agreements,</w:t>
      </w:r>
      <w:r w:rsidR="005323FA">
        <w:t xml:space="preserve"> </w:t>
      </w:r>
      <w:r w:rsidR="00CA684F">
        <w:t>and</w:t>
      </w:r>
      <w:r w:rsidR="005323FA">
        <w:t xml:space="preserve"> whether</w:t>
      </w:r>
      <w:r w:rsidR="00343104">
        <w:t xml:space="preserve"> that</w:t>
      </w:r>
      <w:r w:rsidR="005323FA">
        <w:t xml:space="preserve"> could change if RAN2 decides that blind beam indications should be supported.</w:t>
      </w:r>
    </w:p>
    <w:p w14:paraId="4917A06A" w14:textId="0B937A3C" w:rsidR="00A27208" w:rsidRDefault="007F56A0" w:rsidP="00A27208">
      <w:r>
        <w:rPr>
          <w:b/>
          <w:bCs/>
        </w:rPr>
        <w:t xml:space="preserve">Proposal 1: </w:t>
      </w:r>
      <w:r w:rsidR="00112531">
        <w:t xml:space="preserve">For RACH-less handover in mobile IAB, </w:t>
      </w:r>
      <w:r w:rsidRPr="007F56A0">
        <w:t xml:space="preserve">RAN2 should discuss whether </w:t>
      </w:r>
      <w:r w:rsidR="00877AC4">
        <w:t xml:space="preserve">to adopt </w:t>
      </w:r>
      <w:r>
        <w:t xml:space="preserve">measurement-based </w:t>
      </w:r>
      <w:r w:rsidR="00112531">
        <w:t xml:space="preserve">beam indications </w:t>
      </w:r>
      <w:r w:rsidR="005171EF">
        <w:t>(</w:t>
      </w:r>
      <w:r w:rsidR="00112531">
        <w:t xml:space="preserve">which </w:t>
      </w:r>
      <w:r w:rsidR="005171EF">
        <w:t xml:space="preserve">impacts RAN1/RAN4) </w:t>
      </w:r>
      <w:r>
        <w:t xml:space="preserve">or blind beam indications </w:t>
      </w:r>
      <w:r w:rsidR="005171EF">
        <w:t>(</w:t>
      </w:r>
      <w:r w:rsidR="00112531">
        <w:t xml:space="preserve">which </w:t>
      </w:r>
      <w:r w:rsidR="005171EF">
        <w:t>impacts RAN3)</w:t>
      </w:r>
      <w:r w:rsidR="00877AC4">
        <w:t xml:space="preserve"> an</w:t>
      </w:r>
      <w:r w:rsidR="002B5880">
        <w:t xml:space="preserve">d inform </w:t>
      </w:r>
      <w:r w:rsidR="005171EF">
        <w:t>the impacted work group</w:t>
      </w:r>
      <w:r w:rsidR="00112531">
        <w:t>(</w:t>
      </w:r>
      <w:r w:rsidR="005171EF">
        <w:t>s</w:t>
      </w:r>
      <w:r w:rsidR="00112531">
        <w:t>)</w:t>
      </w:r>
      <w:r w:rsidR="005171EF">
        <w:t xml:space="preserve"> of the decision.</w:t>
      </w:r>
    </w:p>
    <w:p w14:paraId="5982B445" w14:textId="33D516DA" w:rsidR="009339CB" w:rsidRPr="006E13D1" w:rsidRDefault="009339CB" w:rsidP="009339CB">
      <w:pPr>
        <w:pStyle w:val="Heading2"/>
      </w:pPr>
      <w:r>
        <w:t>2</w:t>
      </w:r>
      <w:r w:rsidRPr="006E13D1">
        <w:t>.</w:t>
      </w:r>
      <w:r w:rsidR="00B4349D">
        <w:t>2</w:t>
      </w:r>
      <w:r w:rsidRPr="006E13D1">
        <w:tab/>
      </w:r>
      <w:r w:rsidR="001D17F0">
        <w:t>Conditional handover of on-board UEs</w:t>
      </w:r>
    </w:p>
    <w:p w14:paraId="2C10437F" w14:textId="77777777" w:rsidR="00C7619B" w:rsidRDefault="00C7619B" w:rsidP="00C7619B">
      <w:r>
        <w:t>Earlier there were concerns that the full migration scenario could cause problems in the way of unwanted signalling storms or handover failures due to many on-board UEs being handed over from source to target logical DU in parallel with the IAB-MT handover.</w:t>
      </w:r>
    </w:p>
    <w:p w14:paraId="06FA18E9" w14:textId="77777777" w:rsidR="00C7619B" w:rsidRDefault="00C7619B" w:rsidP="00C7619B">
      <w:r>
        <w:t xml:space="preserve">RAN2 considered several options for handover of on-board UEs in this scenario. One way to reduce too many handovers being triggered simultaneously is </w:t>
      </w:r>
      <w:proofErr w:type="gramStart"/>
      <w:r>
        <w:t>through the use of</w:t>
      </w:r>
      <w:proofErr w:type="gramEnd"/>
      <w:r>
        <w:t xml:space="preserve"> CHO (supported by Rel-16 UEs and later). Furthermore, in RAN2#121bis, it was discussed whether </w:t>
      </w:r>
      <w:proofErr w:type="spellStart"/>
      <w:r>
        <w:t>CondEvent</w:t>
      </w:r>
      <w:proofErr w:type="spellEnd"/>
      <w:r>
        <w:t xml:space="preserve"> T1 (defined in Rel-17 for NTN-capable UEs) could be extended to Rel-18 TN UEs on-board a </w:t>
      </w:r>
      <w:proofErr w:type="spellStart"/>
      <w:r>
        <w:t>mIAB</w:t>
      </w:r>
      <w:proofErr w:type="spellEnd"/>
      <w:r>
        <w:t xml:space="preserve"> node to “spread out” the handover based on a timer.</w:t>
      </w:r>
    </w:p>
    <w:p w14:paraId="439A57D8" w14:textId="77777777" w:rsidR="00C7619B" w:rsidRPr="00F331D7" w:rsidRDefault="00C7619B" w:rsidP="00C7619B">
      <w:pPr>
        <w:pStyle w:val="Agreement"/>
        <w:pBdr>
          <w:top w:val="single" w:sz="4" w:space="1" w:color="auto"/>
          <w:left w:val="single" w:sz="4" w:space="4" w:color="auto"/>
          <w:bottom w:val="single" w:sz="4" w:space="1" w:color="auto"/>
          <w:right w:val="single" w:sz="4" w:space="4" w:color="auto"/>
        </w:pBdr>
        <w:tabs>
          <w:tab w:val="num" w:pos="1106"/>
        </w:tabs>
        <w:spacing w:before="0" w:after="180"/>
        <w:ind w:left="357" w:hanging="357"/>
      </w:pPr>
      <w:r w:rsidRPr="00F331D7">
        <w:t xml:space="preserve">FFS: May support CHO with CondT1 if it is “for free”, </w:t>
      </w:r>
      <w:proofErr w:type="gramStart"/>
      <w:r w:rsidRPr="00F331D7">
        <w:t>i.e.</w:t>
      </w:r>
      <w:proofErr w:type="gramEnd"/>
      <w:r w:rsidRPr="00F331D7">
        <w:t xml:space="preserve"> if TS impact is just to slightly modify the description to make it also applicable to TN.</w:t>
      </w:r>
    </w:p>
    <w:p w14:paraId="1328D1F6" w14:textId="77777777" w:rsidR="00C7619B" w:rsidRDefault="00C7619B" w:rsidP="00C7619B">
      <w:pPr>
        <w:rPr>
          <w:rFonts w:eastAsia="MS PGothic" w:cs="Arial"/>
          <w:szCs w:val="18"/>
        </w:rPr>
      </w:pPr>
      <w:proofErr w:type="spellStart"/>
      <w:r>
        <w:t>CondEvent</w:t>
      </w:r>
      <w:proofErr w:type="spellEnd"/>
      <w:r>
        <w:t xml:space="preserve"> T1 is triggered when a configured threshold </w:t>
      </w:r>
      <w:r>
        <w:rPr>
          <w:i/>
          <w:iCs/>
        </w:rPr>
        <w:t>t1-threshold</w:t>
      </w:r>
      <w:r>
        <w:t xml:space="preserve"> (defined as a specific UTC time in 10ms) has elapsed. </w:t>
      </w:r>
      <w:proofErr w:type="spellStart"/>
      <w:r>
        <w:t>CondEvent</w:t>
      </w:r>
      <w:proofErr w:type="spellEnd"/>
      <w:r>
        <w:t xml:space="preserve"> T1 is currently only applicable to NTN-capable UEs supporting the capability</w:t>
      </w:r>
      <w:r w:rsidRPr="003655D5">
        <w:t xml:space="preserve"> </w:t>
      </w:r>
      <w:r w:rsidRPr="003655D5">
        <w:rPr>
          <w:i/>
          <w:iCs/>
        </w:rPr>
        <w:t>timeBasedCondHandover-r17</w:t>
      </w:r>
      <w:r>
        <w:t xml:space="preserve">. However, considering that legacy UEs can already determine the current UTC time from the </w:t>
      </w:r>
      <w:proofErr w:type="spellStart"/>
      <w:r w:rsidRPr="00CE57C5">
        <w:rPr>
          <w:i/>
          <w:iCs/>
        </w:rPr>
        <w:t>timeInfoUTC</w:t>
      </w:r>
      <w:proofErr w:type="spellEnd"/>
      <w:r>
        <w:t xml:space="preserve"> field broadcasted in SIB9, it seems likely that there are no inherent technical issues that would prevent TN UEs from supporting this capability. Indeed, for Rel-18 TN UEs to support </w:t>
      </w:r>
      <w:proofErr w:type="spellStart"/>
      <w:r>
        <w:t>CondEvent</w:t>
      </w:r>
      <w:proofErr w:type="spellEnd"/>
      <w:r>
        <w:t xml:space="preserve"> T1, our understanding is that the required specification work within RAN2 would only be to remove certain restrictions (</w:t>
      </w:r>
      <w:proofErr w:type="gramStart"/>
      <w:r>
        <w:t>e.g.</w:t>
      </w:r>
      <w:proofErr w:type="gramEnd"/>
      <w:r>
        <w:t xml:space="preserve"> in 38.306, 38.331) that currently limit this feature/capability to NTN UEs.</w:t>
      </w:r>
    </w:p>
    <w:p w14:paraId="200B91B4" w14:textId="54FB4F28" w:rsidR="00C7619B" w:rsidRPr="00D63409" w:rsidRDefault="00C7619B" w:rsidP="00C7619B">
      <w:r w:rsidRPr="00995348">
        <w:rPr>
          <w:b/>
          <w:bCs/>
        </w:rPr>
        <w:t xml:space="preserve">Observation </w:t>
      </w:r>
      <w:r w:rsidR="00112531">
        <w:rPr>
          <w:b/>
          <w:bCs/>
        </w:rPr>
        <w:t>3</w:t>
      </w:r>
      <w:r>
        <w:t xml:space="preserve">: Rel-18 TN UEs can likely support </w:t>
      </w:r>
      <w:proofErr w:type="spellStart"/>
      <w:r>
        <w:t>CondEvent</w:t>
      </w:r>
      <w:proofErr w:type="spellEnd"/>
      <w:r>
        <w:t xml:space="preserve"> T1 with small specification effort within RAN2.</w:t>
      </w:r>
    </w:p>
    <w:p w14:paraId="76E156DE" w14:textId="77777777" w:rsidR="00C7619B" w:rsidRDefault="00C7619B" w:rsidP="00C7619B">
      <w:pPr>
        <w:rPr>
          <w:rFonts w:eastAsia="MS PGothic" w:cs="Arial"/>
          <w:szCs w:val="18"/>
        </w:rPr>
      </w:pPr>
      <w:r>
        <w:rPr>
          <w:rFonts w:eastAsia="MS PGothic" w:cs="Arial"/>
          <w:szCs w:val="18"/>
        </w:rPr>
        <w:t xml:space="preserve">On the other hand, in the </w:t>
      </w:r>
      <w:proofErr w:type="spellStart"/>
      <w:r>
        <w:rPr>
          <w:rFonts w:eastAsia="MS PGothic" w:cs="Arial"/>
          <w:szCs w:val="18"/>
        </w:rPr>
        <w:t>mIAB</w:t>
      </w:r>
      <w:proofErr w:type="spellEnd"/>
      <w:r>
        <w:rPr>
          <w:rFonts w:eastAsia="MS PGothic" w:cs="Arial"/>
          <w:szCs w:val="18"/>
        </w:rPr>
        <w:t xml:space="preserve"> context, the overall benefit from Rel-18 TN UEs supporting </w:t>
      </w:r>
      <w:proofErr w:type="spellStart"/>
      <w:r>
        <w:rPr>
          <w:rFonts w:eastAsia="MS PGothic" w:cs="Arial"/>
          <w:szCs w:val="18"/>
        </w:rPr>
        <w:t>CondEvent</w:t>
      </w:r>
      <w:proofErr w:type="spellEnd"/>
      <w:r>
        <w:rPr>
          <w:rFonts w:eastAsia="MS PGothic" w:cs="Arial"/>
          <w:szCs w:val="18"/>
        </w:rPr>
        <w:t xml:space="preserve"> T1 could be quite small. Recalling why CHO was originally discussed in this context, the purpose was to minimize signalling storms and/or connection failures associated with simultaneous handovers of connected UEs during full migration.</w:t>
      </w:r>
    </w:p>
    <w:p w14:paraId="3DCE707E" w14:textId="77777777" w:rsidR="00C7619B" w:rsidRDefault="00C7619B" w:rsidP="00C7619B">
      <w:pPr>
        <w:rPr>
          <w:rFonts w:eastAsia="MS PGothic" w:cs="Arial"/>
          <w:szCs w:val="18"/>
        </w:rPr>
      </w:pPr>
      <w:r>
        <w:rPr>
          <w:rFonts w:eastAsia="MS PGothic" w:cs="Arial"/>
          <w:szCs w:val="18"/>
        </w:rPr>
        <w:t>However, in RAN2#119bis, it was agreed (</w:t>
      </w:r>
      <w:hyperlink r:id="rId14" w:history="1">
        <w:r w:rsidRPr="00811098">
          <w:rPr>
            <w:rStyle w:val="Hyperlink"/>
            <w:rFonts w:eastAsia="MS PGothic" w:cs="Arial"/>
            <w:szCs w:val="18"/>
          </w:rPr>
          <w:t>R2-2211101</w:t>
        </w:r>
      </w:hyperlink>
      <w:r>
        <w:rPr>
          <w:rFonts w:eastAsia="MS PGothic" w:cs="Arial"/>
          <w:szCs w:val="18"/>
        </w:rPr>
        <w:t>):</w:t>
      </w:r>
    </w:p>
    <w:p w14:paraId="33BE76B4" w14:textId="77777777" w:rsidR="00C7619B" w:rsidRPr="00341B7C" w:rsidRDefault="00C7619B" w:rsidP="00C7619B">
      <w:pPr>
        <w:pStyle w:val="Agreement"/>
        <w:pBdr>
          <w:top w:val="single" w:sz="4" w:space="1" w:color="auto"/>
          <w:left w:val="single" w:sz="4" w:space="4" w:color="auto"/>
          <w:bottom w:val="single" w:sz="4" w:space="1" w:color="auto"/>
          <w:right w:val="single" w:sz="4" w:space="4" w:color="auto"/>
        </w:pBdr>
        <w:tabs>
          <w:tab w:val="num" w:pos="1106"/>
        </w:tabs>
        <w:spacing w:before="0" w:after="180"/>
        <w:ind w:left="357" w:hanging="357"/>
      </w:pPr>
      <w:r w:rsidRPr="00341B7C">
        <w:t xml:space="preserve">RAN2 focuses on the scenario where, during full migration, the UE sees the </w:t>
      </w:r>
      <w:r w:rsidRPr="00341B7C">
        <w:rPr>
          <w:rFonts w:cstheme="minorHAnsi"/>
        </w:rPr>
        <w:t>two logical DU cells as different physical cells (</w:t>
      </w:r>
      <w:proofErr w:type="gramStart"/>
      <w:r w:rsidRPr="00341B7C">
        <w:rPr>
          <w:rFonts w:cstheme="minorHAnsi"/>
        </w:rPr>
        <w:t>e.g.</w:t>
      </w:r>
      <w:proofErr w:type="gramEnd"/>
      <w:r w:rsidRPr="00341B7C">
        <w:rPr>
          <w:rFonts w:cstheme="minorHAnsi"/>
        </w:rPr>
        <w:t xml:space="preserve"> with different PCI if same carrier), and where the two logical DU cells use separate physical resources (i.e., different carriers, or orthogonal time and frequency resources of the same carrier, as supported by legacy L1).</w:t>
      </w:r>
    </w:p>
    <w:p w14:paraId="2CDCA491" w14:textId="77777777" w:rsidR="00C7619B" w:rsidRDefault="00C7619B" w:rsidP="00C7619B">
      <w:pPr>
        <w:rPr>
          <w:rFonts w:eastAsia="MS PGothic" w:cs="Arial"/>
          <w:szCs w:val="18"/>
        </w:rPr>
      </w:pPr>
      <w:r>
        <w:rPr>
          <w:rFonts w:eastAsia="MS PGothic" w:cs="Arial"/>
          <w:szCs w:val="18"/>
        </w:rPr>
        <w:t xml:space="preserve">And, in RAN3#119 it was agreed </w:t>
      </w:r>
      <w:hyperlink r:id="rId15" w:history="1">
        <w:r w:rsidRPr="00811098">
          <w:rPr>
            <w:rStyle w:val="Hyperlink"/>
            <w:rFonts w:eastAsia="MS PGothic" w:cs="Arial"/>
            <w:szCs w:val="18"/>
          </w:rPr>
          <w:t>(R3-231101</w:t>
        </w:r>
      </w:hyperlink>
      <w:r>
        <w:rPr>
          <w:rFonts w:eastAsia="MS PGothic" w:cs="Arial"/>
          <w:szCs w:val="18"/>
        </w:rPr>
        <w:t>):</w:t>
      </w:r>
    </w:p>
    <w:p w14:paraId="27A22BF7" w14:textId="77777777" w:rsidR="00C7619B" w:rsidRDefault="00C7619B" w:rsidP="00C7619B">
      <w:pPr>
        <w:widowControl w:val="0"/>
        <w:pBdr>
          <w:top w:val="single" w:sz="4" w:space="1" w:color="auto"/>
          <w:left w:val="single" w:sz="4" w:space="4" w:color="auto"/>
          <w:bottom w:val="single" w:sz="4" w:space="1" w:color="auto"/>
          <w:right w:val="single" w:sz="4" w:space="4" w:color="auto"/>
        </w:pBdr>
        <w:ind w:left="144" w:hanging="144"/>
        <w:rPr>
          <w:b/>
          <w:color w:val="008000"/>
        </w:rPr>
      </w:pPr>
      <w:r>
        <w:rPr>
          <w:b/>
          <w:bCs/>
          <w:color w:val="007434"/>
          <w:u w:val="single"/>
        </w:rPr>
        <w:t xml:space="preserve">Agreements: </w:t>
      </w:r>
      <w:r>
        <w:rPr>
          <w:b/>
          <w:color w:val="008000"/>
        </w:rPr>
        <w:t xml:space="preserve">The HO of UEs from the source logical </w:t>
      </w:r>
      <w:proofErr w:type="spellStart"/>
      <w:r>
        <w:rPr>
          <w:b/>
          <w:color w:val="008000"/>
        </w:rPr>
        <w:t>mIAB</w:t>
      </w:r>
      <w:proofErr w:type="spellEnd"/>
      <w:r>
        <w:rPr>
          <w:b/>
          <w:color w:val="008000"/>
        </w:rPr>
        <w:t xml:space="preserve">-DU´s CU to the target logical </w:t>
      </w:r>
      <w:proofErr w:type="spellStart"/>
      <w:r>
        <w:rPr>
          <w:b/>
          <w:color w:val="008000"/>
        </w:rPr>
        <w:t>mIAB</w:t>
      </w:r>
      <w:proofErr w:type="spellEnd"/>
      <w:r>
        <w:rPr>
          <w:b/>
          <w:color w:val="008000"/>
        </w:rPr>
        <w:t xml:space="preserve">-DU´s CU should happen after the completion of the F1 setup. When to trigger the HO is up to source logical </w:t>
      </w:r>
      <w:proofErr w:type="spellStart"/>
      <w:r>
        <w:rPr>
          <w:b/>
          <w:color w:val="008000"/>
        </w:rPr>
        <w:t>mIAB</w:t>
      </w:r>
      <w:proofErr w:type="spellEnd"/>
      <w:r>
        <w:rPr>
          <w:b/>
          <w:color w:val="008000"/>
        </w:rPr>
        <w:t>-DU´s CU implementation.</w:t>
      </w:r>
    </w:p>
    <w:p w14:paraId="137D5BAE" w14:textId="77777777" w:rsidR="00C7619B" w:rsidRDefault="00C7619B" w:rsidP="00C7619B">
      <w:pPr>
        <w:rPr>
          <w:rFonts w:eastAsia="MS PGothic" w:cs="Arial"/>
          <w:szCs w:val="18"/>
        </w:rPr>
      </w:pPr>
      <w:r>
        <w:rPr>
          <w:rFonts w:eastAsia="MS PGothic" w:cs="Arial"/>
          <w:szCs w:val="18"/>
        </w:rPr>
        <w:t>Additionally, an earlier agreement from RAN3#117bis states (</w:t>
      </w:r>
      <w:hyperlink r:id="rId16" w:history="1">
        <w:r w:rsidRPr="00325E76">
          <w:rPr>
            <w:rStyle w:val="Hyperlink"/>
            <w:rFonts w:eastAsia="MS PGothic" w:cs="Arial"/>
            <w:szCs w:val="18"/>
          </w:rPr>
          <w:t>R3-226101</w:t>
        </w:r>
      </w:hyperlink>
      <w:r>
        <w:rPr>
          <w:rFonts w:eastAsia="MS PGothic" w:cs="Arial"/>
          <w:szCs w:val="18"/>
        </w:rPr>
        <w:t>):</w:t>
      </w:r>
    </w:p>
    <w:p w14:paraId="4B32D77C" w14:textId="77777777" w:rsidR="00C7619B" w:rsidRDefault="00C7619B" w:rsidP="00C7619B">
      <w:pPr>
        <w:pBdr>
          <w:top w:val="single" w:sz="4" w:space="1" w:color="auto"/>
          <w:left w:val="single" w:sz="4" w:space="4" w:color="auto"/>
          <w:bottom w:val="single" w:sz="4" w:space="1" w:color="auto"/>
          <w:right w:val="single" w:sz="4" w:space="4" w:color="auto"/>
        </w:pBdr>
        <w:rPr>
          <w:rFonts w:eastAsia="MS PGothic" w:cs="Arial"/>
          <w:szCs w:val="18"/>
        </w:rPr>
      </w:pPr>
      <w:proofErr w:type="spellStart"/>
      <w:r>
        <w:rPr>
          <w:b/>
          <w:bCs/>
          <w:color w:val="007434"/>
        </w:rPr>
        <w:t>mIAB</w:t>
      </w:r>
      <w:proofErr w:type="spellEnd"/>
      <w:r>
        <w:rPr>
          <w:b/>
          <w:bCs/>
          <w:color w:val="007434"/>
        </w:rPr>
        <w:t xml:space="preserve">-DU migration and </w:t>
      </w:r>
      <w:proofErr w:type="spellStart"/>
      <w:r>
        <w:rPr>
          <w:b/>
          <w:bCs/>
          <w:color w:val="007434"/>
        </w:rPr>
        <w:t>mIAB</w:t>
      </w:r>
      <w:proofErr w:type="spellEnd"/>
      <w:r>
        <w:rPr>
          <w:b/>
          <w:bCs/>
          <w:color w:val="007434"/>
        </w:rPr>
        <w:t>-MT handover can be executed independently from each other.</w:t>
      </w:r>
    </w:p>
    <w:p w14:paraId="78818F81" w14:textId="77777777" w:rsidR="00C7619B" w:rsidRDefault="00C7619B" w:rsidP="00C7619B">
      <w:pPr>
        <w:rPr>
          <w:rFonts w:eastAsia="MS PGothic" w:cs="Arial"/>
          <w:szCs w:val="18"/>
        </w:rPr>
      </w:pPr>
      <w:r>
        <w:rPr>
          <w:rFonts w:eastAsia="MS PGothic" w:cs="Arial"/>
          <w:szCs w:val="18"/>
        </w:rPr>
        <w:t>These agreements imply that the cells of the source and target logical DUs could be active simultaneously and will be perceived as distinct cells by connected UEs, and further that there is no coupling of the IAB-MT HO with the handover of on-board UEs. Together, these already mitigate the risk of handover failures (at least there is no more risk than inter-</w:t>
      </w:r>
      <w:r>
        <w:rPr>
          <w:rFonts w:eastAsia="MS PGothic" w:cs="Arial"/>
          <w:szCs w:val="18"/>
        </w:rPr>
        <w:lastRenderedPageBreak/>
        <w:t>CU handover in a stationary network). Furthermore, based on the above agreement from RAN3#119, the source logical DU’s donor CU could “spread out” the handover triggers for different UEs (</w:t>
      </w:r>
      <w:proofErr w:type="gramStart"/>
      <w:r>
        <w:rPr>
          <w:rFonts w:eastAsia="MS PGothic" w:cs="Arial"/>
          <w:szCs w:val="18"/>
        </w:rPr>
        <w:t>i.e.</w:t>
      </w:r>
      <w:proofErr w:type="gramEnd"/>
      <w:r>
        <w:rPr>
          <w:rFonts w:eastAsia="MS PGothic" w:cs="Arial"/>
          <w:szCs w:val="18"/>
        </w:rPr>
        <w:t xml:space="preserve"> to hand UEs over sequentially) in order to minimize signalling storms.</w:t>
      </w:r>
    </w:p>
    <w:p w14:paraId="1D6B3171" w14:textId="6F5A1C2F" w:rsidR="00C7619B" w:rsidRDefault="00C7619B" w:rsidP="00C7619B">
      <w:pPr>
        <w:rPr>
          <w:rFonts w:eastAsia="MS PGothic" w:cs="Arial"/>
          <w:szCs w:val="18"/>
        </w:rPr>
      </w:pPr>
      <w:r w:rsidRPr="00387F23">
        <w:rPr>
          <w:rFonts w:eastAsia="MS PGothic" w:cs="Arial"/>
          <w:b/>
          <w:bCs/>
          <w:szCs w:val="18"/>
        </w:rPr>
        <w:t xml:space="preserve">Observation </w:t>
      </w:r>
      <w:r w:rsidR="00112531">
        <w:rPr>
          <w:rFonts w:eastAsia="MS PGothic" w:cs="Arial"/>
          <w:b/>
          <w:bCs/>
          <w:szCs w:val="18"/>
        </w:rPr>
        <w:t>4</w:t>
      </w:r>
      <w:r>
        <w:rPr>
          <w:rFonts w:eastAsia="MS PGothic" w:cs="Arial"/>
          <w:szCs w:val="18"/>
        </w:rPr>
        <w:t>: Based on existing agreements in RAN2 and RAN3, signalling storms can already be mitigated during full migration.</w:t>
      </w:r>
    </w:p>
    <w:p w14:paraId="34546CFB" w14:textId="77777777" w:rsidR="00C7619B" w:rsidRDefault="00C7619B" w:rsidP="00C7619B">
      <w:pPr>
        <w:rPr>
          <w:rFonts w:eastAsia="MS PGothic" w:cs="Arial"/>
          <w:szCs w:val="18"/>
        </w:rPr>
      </w:pPr>
      <w:r>
        <w:rPr>
          <w:rFonts w:eastAsia="MS PGothic" w:cs="Arial"/>
          <w:szCs w:val="18"/>
        </w:rPr>
        <w:t xml:space="preserve">Considering the above, the motivation for supporting </w:t>
      </w:r>
      <w:proofErr w:type="spellStart"/>
      <w:r>
        <w:rPr>
          <w:rFonts w:eastAsia="MS PGothic" w:cs="Arial"/>
          <w:szCs w:val="18"/>
        </w:rPr>
        <w:t>CondEvent</w:t>
      </w:r>
      <w:proofErr w:type="spellEnd"/>
      <w:r>
        <w:rPr>
          <w:rFonts w:eastAsia="MS PGothic" w:cs="Arial"/>
          <w:szCs w:val="18"/>
        </w:rPr>
        <w:t xml:space="preserve"> T1 in Rel-18 TN UEs is still not very clear. Even if it is supported, the overall benefit could be quite small anyways since a relatively small number of UEs connected to the mobile IAB node would support it.</w:t>
      </w:r>
    </w:p>
    <w:p w14:paraId="25E5A41D" w14:textId="1BF3B892" w:rsidR="00C7619B" w:rsidRDefault="00C7619B" w:rsidP="00C7619B">
      <w:pPr>
        <w:rPr>
          <w:rFonts w:eastAsia="MS PGothic" w:cs="Arial"/>
          <w:szCs w:val="18"/>
        </w:rPr>
      </w:pPr>
      <w:r w:rsidRPr="00D15895">
        <w:rPr>
          <w:rFonts w:eastAsia="MS PGothic" w:cs="Arial"/>
          <w:b/>
          <w:bCs/>
          <w:szCs w:val="18"/>
        </w:rPr>
        <w:t xml:space="preserve">Observation </w:t>
      </w:r>
      <w:r w:rsidR="00112531">
        <w:rPr>
          <w:rFonts w:eastAsia="MS PGothic" w:cs="Arial"/>
          <w:b/>
          <w:bCs/>
          <w:szCs w:val="18"/>
        </w:rPr>
        <w:t>5</w:t>
      </w:r>
      <w:r>
        <w:rPr>
          <w:rFonts w:eastAsia="MS PGothic" w:cs="Arial"/>
          <w:szCs w:val="18"/>
        </w:rPr>
        <w:t xml:space="preserve">: The overall motivation for and benefit from Rel-18 TN UEs supporting </w:t>
      </w:r>
      <w:proofErr w:type="spellStart"/>
      <w:r>
        <w:rPr>
          <w:rFonts w:eastAsia="MS PGothic" w:cs="Arial"/>
          <w:szCs w:val="18"/>
        </w:rPr>
        <w:t>CondEvent</w:t>
      </w:r>
      <w:proofErr w:type="spellEnd"/>
      <w:r>
        <w:rPr>
          <w:rFonts w:eastAsia="MS PGothic" w:cs="Arial"/>
          <w:szCs w:val="18"/>
        </w:rPr>
        <w:t xml:space="preserve"> T1 is still not very clear.</w:t>
      </w:r>
    </w:p>
    <w:p w14:paraId="73AE01E1" w14:textId="1867E706" w:rsidR="001D093D" w:rsidRDefault="00C7619B" w:rsidP="00C7619B">
      <w:pPr>
        <w:rPr>
          <w:rFonts w:eastAsia="MS PGothic" w:cs="Arial"/>
          <w:szCs w:val="18"/>
        </w:rPr>
      </w:pPr>
      <w:r w:rsidRPr="00E25446">
        <w:rPr>
          <w:rFonts w:eastAsia="MS PGothic" w:cs="Arial"/>
          <w:b/>
          <w:bCs/>
          <w:szCs w:val="18"/>
        </w:rPr>
        <w:t xml:space="preserve">Proposal </w:t>
      </w:r>
      <w:r w:rsidR="00112531">
        <w:rPr>
          <w:rFonts w:eastAsia="MS PGothic" w:cs="Arial"/>
          <w:b/>
          <w:bCs/>
          <w:szCs w:val="18"/>
        </w:rPr>
        <w:t>2</w:t>
      </w:r>
      <w:r w:rsidRPr="00E25446">
        <w:rPr>
          <w:rFonts w:eastAsia="MS PGothic" w:cs="Arial"/>
          <w:b/>
          <w:bCs/>
          <w:szCs w:val="18"/>
        </w:rPr>
        <w:t xml:space="preserve">: </w:t>
      </w:r>
      <w:r w:rsidRPr="001F710D">
        <w:rPr>
          <w:rFonts w:eastAsia="MS PGothic" w:cs="Arial"/>
          <w:szCs w:val="18"/>
        </w:rPr>
        <w:t xml:space="preserve">RAN2 does not agree to support </w:t>
      </w:r>
      <w:proofErr w:type="spellStart"/>
      <w:r w:rsidRPr="001F710D">
        <w:rPr>
          <w:rFonts w:eastAsia="MS PGothic" w:cs="Arial"/>
          <w:szCs w:val="18"/>
        </w:rPr>
        <w:t>CondEvent</w:t>
      </w:r>
      <w:proofErr w:type="spellEnd"/>
      <w:r w:rsidRPr="001F710D">
        <w:rPr>
          <w:rFonts w:eastAsia="MS PGothic" w:cs="Arial"/>
          <w:szCs w:val="18"/>
        </w:rPr>
        <w:t xml:space="preserve"> T1 for Rel-18 TN UEs until benefits are better understood.</w:t>
      </w:r>
    </w:p>
    <w:p w14:paraId="4059980C" w14:textId="341D5430" w:rsidR="00435855" w:rsidRPr="006E13D1" w:rsidRDefault="00435855" w:rsidP="00435855">
      <w:pPr>
        <w:pStyle w:val="Heading2"/>
      </w:pPr>
      <w:r>
        <w:t>2</w:t>
      </w:r>
      <w:r w:rsidRPr="006E13D1">
        <w:t>.</w:t>
      </w:r>
      <w:r>
        <w:t>3</w:t>
      </w:r>
      <w:r w:rsidRPr="006E13D1">
        <w:tab/>
      </w:r>
      <w:r w:rsidR="00794E2F" w:rsidRPr="00AA4AD9">
        <w:t xml:space="preserve">Preventing </w:t>
      </w:r>
      <w:r w:rsidR="003A7DB0">
        <w:t>unnecessary measurements of</w:t>
      </w:r>
      <w:r w:rsidR="00794E2F" w:rsidRPr="00AA4AD9">
        <w:t xml:space="preserve"> mobile</w:t>
      </w:r>
      <w:r w:rsidR="003A7DB0">
        <w:t xml:space="preserve"> </w:t>
      </w:r>
      <w:r w:rsidR="00794E2F" w:rsidRPr="00AA4AD9">
        <w:t xml:space="preserve">IAB </w:t>
      </w:r>
      <w:proofErr w:type="gramStart"/>
      <w:r w:rsidR="00794E2F" w:rsidRPr="00AA4AD9">
        <w:t>cell</w:t>
      </w:r>
      <w:r w:rsidR="003A7DB0">
        <w:t>s</w:t>
      </w:r>
      <w:proofErr w:type="gramEnd"/>
    </w:p>
    <w:p w14:paraId="250DEF9B" w14:textId="77777777" w:rsidR="0009348C" w:rsidRPr="00DF7313" w:rsidRDefault="0009348C" w:rsidP="0009348C">
      <w:r>
        <w:t xml:space="preserve">Earlier, in </w:t>
      </w:r>
      <w:r w:rsidRPr="00DF7313">
        <w:t>RAN2#119</w:t>
      </w:r>
      <w:r>
        <w:t>, it was</w:t>
      </w:r>
      <w:r w:rsidRPr="00DF7313">
        <w:t xml:space="preserve"> agreed:</w:t>
      </w:r>
    </w:p>
    <w:p w14:paraId="22ADC402" w14:textId="77777777" w:rsidR="0009348C" w:rsidRPr="00DF7313" w:rsidRDefault="0009348C" w:rsidP="0009348C">
      <w:pPr>
        <w:numPr>
          <w:ilvl w:val="0"/>
          <w:numId w:val="9"/>
        </w:numPr>
        <w:tabs>
          <w:tab w:val="clear" w:pos="3620"/>
          <w:tab w:val="num" w:pos="1352"/>
        </w:tabs>
        <w:ind w:left="1352"/>
        <w:rPr>
          <w:rFonts w:ascii="Arial" w:hAnsi="Arial" w:cs="Arial"/>
          <w:b/>
        </w:rPr>
      </w:pPr>
      <w:r w:rsidRPr="00DF7313">
        <w:rPr>
          <w:rFonts w:ascii="Arial" w:hAnsi="Arial" w:cs="Arial"/>
          <w:b/>
        </w:rPr>
        <w:t>The method of not broadcasting “</w:t>
      </w:r>
      <w:proofErr w:type="spellStart"/>
      <w:r w:rsidRPr="00DF7313">
        <w:rPr>
          <w:rFonts w:ascii="Arial" w:hAnsi="Arial" w:cs="Arial"/>
          <w:b/>
        </w:rPr>
        <w:t>iab</w:t>
      </w:r>
      <w:proofErr w:type="spellEnd"/>
      <w:r w:rsidRPr="00DF7313">
        <w:rPr>
          <w:rFonts w:ascii="Arial" w:hAnsi="Arial" w:cs="Arial"/>
          <w:b/>
        </w:rPr>
        <w:t>-Support” indication, is sufficient to prevent other IAB-node from accessing mobile IAB (without further spec impact).</w:t>
      </w:r>
    </w:p>
    <w:p w14:paraId="1E7A0AD2" w14:textId="62C73DCB" w:rsidR="00C901AA" w:rsidRDefault="0009348C" w:rsidP="0009348C">
      <w:r>
        <w:t xml:space="preserve">We assume that this agreement applies to IAB node integration only. In the context of handover – and particularly with inter-donor handover in mind – this agreement could suggest that before measurement reporting, an IAB node is required to first decode the system information of neighbour cells </w:t>
      </w:r>
      <w:proofErr w:type="gramStart"/>
      <w:r>
        <w:t>in order to</w:t>
      </w:r>
      <w:proofErr w:type="gramEnd"/>
      <w:r>
        <w:t xml:space="preserve"> refrain from reporting cells that are not broadcasting the </w:t>
      </w:r>
      <w:r w:rsidR="0063098A">
        <w:t>“</w:t>
      </w:r>
      <w:proofErr w:type="spellStart"/>
      <w:r w:rsidR="0063098A">
        <w:t>iab</w:t>
      </w:r>
      <w:proofErr w:type="spellEnd"/>
      <w:r w:rsidR="0063098A">
        <w:t xml:space="preserve">-Support” or </w:t>
      </w:r>
      <w:r>
        <w:t>“</w:t>
      </w:r>
      <w:proofErr w:type="spellStart"/>
      <w:r w:rsidR="00892213">
        <w:t>mobileIAB</w:t>
      </w:r>
      <w:proofErr w:type="spellEnd"/>
      <w:r>
        <w:t>-Support” indication</w:t>
      </w:r>
      <w:r w:rsidR="0063098A">
        <w:t>s</w:t>
      </w:r>
      <w:r>
        <w:t>. Such a requirement could introduce extra measurement gaps, which could unnecessarily disrupt the backhaul of the IAB node.</w:t>
      </w:r>
    </w:p>
    <w:p w14:paraId="5C593E0E" w14:textId="59363D27" w:rsidR="00BF5A5F" w:rsidRDefault="000F36B1" w:rsidP="0009348C">
      <w:r w:rsidRPr="00C901AA">
        <w:t xml:space="preserve">Since there could be other ways </w:t>
      </w:r>
      <w:r w:rsidR="0009348C" w:rsidRPr="00C901AA">
        <w:t>to know whether a target cell belongs to a mobile IAB</w:t>
      </w:r>
      <w:r w:rsidR="00C901AA" w:rsidRPr="00C901AA">
        <w:t>, e.g.</w:t>
      </w:r>
      <w:r w:rsidR="0009348C" w:rsidRPr="00C901AA">
        <w:t xml:space="preserve"> based on </w:t>
      </w:r>
      <w:proofErr w:type="spellStart"/>
      <w:r w:rsidR="0009348C" w:rsidRPr="00C901AA">
        <w:t>XnAP</w:t>
      </w:r>
      <w:proofErr w:type="spellEnd"/>
      <w:r w:rsidR="0009348C" w:rsidRPr="00C901AA">
        <w:t xml:space="preserve"> procedures </w:t>
      </w:r>
      <w:r w:rsidR="0009348C" w:rsidRPr="00F33947">
        <w:t>(see</w:t>
      </w:r>
      <w:r w:rsidR="00C901AA" w:rsidRPr="00F33947">
        <w:t xml:space="preserve"> discussion in</w:t>
      </w:r>
      <w:r w:rsidR="0009348C" w:rsidRPr="00F33947">
        <w:t xml:space="preserve"> </w:t>
      </w:r>
      <w:hyperlink r:id="rId17" w:history="1">
        <w:r w:rsidR="00C7442D" w:rsidRPr="00F33947">
          <w:rPr>
            <w:rStyle w:val="Hyperlink"/>
          </w:rPr>
          <w:t>R3-234010</w:t>
        </w:r>
      </w:hyperlink>
      <w:r w:rsidR="00CF1044" w:rsidRPr="00F33947">
        <w:rPr>
          <w:rStyle w:val="Hyperlink"/>
          <w:color w:val="auto"/>
          <w:u w:val="none"/>
        </w:rPr>
        <w:t xml:space="preserve"> Section 4</w:t>
      </w:r>
      <w:r w:rsidR="00C901AA" w:rsidRPr="00F33947">
        <w:t>, for example</w:t>
      </w:r>
      <w:r w:rsidR="0009348C" w:rsidRPr="00F33947">
        <w:t>)</w:t>
      </w:r>
      <w:r w:rsidR="00C901AA" w:rsidRPr="00F33947">
        <w:t>, w</w:t>
      </w:r>
      <w:r w:rsidR="00B93811" w:rsidRPr="00F33947">
        <w:t>e</w:t>
      </w:r>
      <w:r w:rsidR="00B93811" w:rsidRPr="00C901AA">
        <w:t xml:space="preserve"> raised </w:t>
      </w:r>
      <w:r w:rsidR="00B93811">
        <w:t>this issue at RAN2#121bis</w:t>
      </w:r>
      <w:r w:rsidR="000C1DA6">
        <w:t xml:space="preserve"> and proposed that a </w:t>
      </w:r>
      <w:r w:rsidR="007152D9">
        <w:t>mobile IAB</w:t>
      </w:r>
      <w:r w:rsidR="004B3027">
        <w:t xml:space="preserve">-MT </w:t>
      </w:r>
      <w:r w:rsidR="007152D9">
        <w:t xml:space="preserve">should not be required to </w:t>
      </w:r>
      <w:r w:rsidR="007D69E2">
        <w:t>decode</w:t>
      </w:r>
      <w:r w:rsidR="007152D9">
        <w:t xml:space="preserve"> the system information of cells</w:t>
      </w:r>
      <w:r w:rsidR="000F02E9">
        <w:t xml:space="preserve"> </w:t>
      </w:r>
      <w:r w:rsidR="000D4951">
        <w:t xml:space="preserve">so it can </w:t>
      </w:r>
      <w:r w:rsidR="007152D9">
        <w:t>re</w:t>
      </w:r>
      <w:r w:rsidR="004B3027">
        <w:t>frain from reporting measurements of</w:t>
      </w:r>
      <w:r w:rsidR="007A4253">
        <w:t xml:space="preserve"> other mobile IAB</w:t>
      </w:r>
      <w:r w:rsidR="004B3027">
        <w:t xml:space="preserve"> cells</w:t>
      </w:r>
      <w:r w:rsidR="004F776C">
        <w:t xml:space="preserve"> </w:t>
      </w:r>
      <w:r w:rsidR="00755A19">
        <w:t xml:space="preserve">(see </w:t>
      </w:r>
      <w:hyperlink r:id="rId18" w:history="1">
        <w:r w:rsidR="004E23D6" w:rsidRPr="004E23D6">
          <w:rPr>
            <w:rStyle w:val="Hyperlink"/>
          </w:rPr>
          <w:t>R2-2302929</w:t>
        </w:r>
      </w:hyperlink>
      <w:r w:rsidR="004E23D6">
        <w:t>)</w:t>
      </w:r>
      <w:r w:rsidR="000D4951">
        <w:t>; however,</w:t>
      </w:r>
      <w:r w:rsidR="008A072E">
        <w:t xml:space="preserve"> RAN2 made the following assumption:</w:t>
      </w:r>
    </w:p>
    <w:p w14:paraId="66AE825D" w14:textId="77777777" w:rsidR="00BF5A5F" w:rsidRPr="00573F21" w:rsidRDefault="00BF5A5F" w:rsidP="00BF5A5F">
      <w:pPr>
        <w:pStyle w:val="Agreement"/>
        <w:rPr>
          <w:rFonts w:ascii="Times New Roman" w:eastAsia="Times New Roman" w:hAnsi="Times New Roman"/>
          <w:szCs w:val="20"/>
        </w:rPr>
      </w:pPr>
      <w:r>
        <w:t>R2 assumes that a mobile IAB node is not required to receive the system information of neighbour cells for reporting of measurements (</w:t>
      </w:r>
      <w:proofErr w:type="gramStart"/>
      <w:r>
        <w:t>i.e.</w:t>
      </w:r>
      <w:proofErr w:type="gramEnd"/>
      <w:r>
        <w:t xml:space="preserve"> it will not refrain from reporting measurements of cells that are not broadcasting the “mobile </w:t>
      </w:r>
      <w:proofErr w:type="spellStart"/>
      <w:r>
        <w:t>iab</w:t>
      </w:r>
      <w:proofErr w:type="spellEnd"/>
      <w:r>
        <w:t xml:space="preserve"> Support” indication, and this is </w:t>
      </w:r>
      <w:proofErr w:type="spellStart"/>
      <w:r>
        <w:t>acc</w:t>
      </w:r>
      <w:proofErr w:type="spellEnd"/>
      <w:r>
        <w:t xml:space="preserve"> to current R2 TS).</w:t>
      </w:r>
    </w:p>
    <w:p w14:paraId="7F454B20" w14:textId="41A48D23" w:rsidR="0009348C" w:rsidRPr="006B7D9F" w:rsidRDefault="00B841D6" w:rsidP="0083571B">
      <w:pPr>
        <w:spacing w:before="240"/>
      </w:pPr>
      <w:r>
        <w:t xml:space="preserve">In our view, the latter part of this assumption, </w:t>
      </w:r>
      <w:proofErr w:type="gramStart"/>
      <w:r w:rsidR="00037F4C">
        <w:t>i.e.</w:t>
      </w:r>
      <w:proofErr w:type="gramEnd"/>
      <w:r w:rsidR="00037F4C">
        <w:t xml:space="preserve"> that</w:t>
      </w:r>
      <w:r w:rsidR="00037F4C" w:rsidRPr="00037F4C">
        <w:t xml:space="preserve"> </w:t>
      </w:r>
      <w:r w:rsidR="00037F4C">
        <w:t xml:space="preserve">a mobile IAB-MT </w:t>
      </w:r>
      <w:r w:rsidR="00037F4C" w:rsidRPr="00037F4C">
        <w:t xml:space="preserve">will not refrain from reporting measurements of cells that are not broadcasting the “mobile </w:t>
      </w:r>
      <w:proofErr w:type="spellStart"/>
      <w:r w:rsidR="00037F4C" w:rsidRPr="00037F4C">
        <w:t>iab</w:t>
      </w:r>
      <w:proofErr w:type="spellEnd"/>
      <w:r w:rsidR="00037F4C" w:rsidRPr="00037F4C">
        <w:t xml:space="preserve"> Support” indication</w:t>
      </w:r>
      <w:r w:rsidR="00037F4C">
        <w:t>, is too strong</w:t>
      </w:r>
      <w:r w:rsidR="0025379A">
        <w:t xml:space="preserve">. For example, </w:t>
      </w:r>
      <w:r w:rsidR="006017F6">
        <w:t>RAN2 should not preclude the scenario where a donor CU</w:t>
      </w:r>
      <w:r w:rsidR="00FC5F1E">
        <w:t xml:space="preserve"> could</w:t>
      </w:r>
      <w:r w:rsidR="006017F6">
        <w:t xml:space="preserve"> </w:t>
      </w:r>
      <w:r w:rsidR="00FB2BE0">
        <w:t xml:space="preserve">configure </w:t>
      </w:r>
      <w:r w:rsidR="00380695">
        <w:t xml:space="preserve">an IAB-MT to </w:t>
      </w:r>
      <w:r w:rsidR="001D30A8">
        <w:t>avoid</w:t>
      </w:r>
      <w:r w:rsidR="00380695">
        <w:t xml:space="preserve"> </w:t>
      </w:r>
      <w:r w:rsidR="001D30A8">
        <w:t xml:space="preserve">taking </w:t>
      </w:r>
      <w:r w:rsidR="00FC5F1E">
        <w:t>measurements of PCIs associated with</w:t>
      </w:r>
      <w:r w:rsidR="00E12FB9">
        <w:t xml:space="preserve"> other</w:t>
      </w:r>
      <w:r w:rsidR="007A4253">
        <w:t xml:space="preserve"> mobile IAB</w:t>
      </w:r>
      <w:r w:rsidR="00233B9B">
        <w:t xml:space="preserve"> cells, </w:t>
      </w:r>
      <w:proofErr w:type="gramStart"/>
      <w:r w:rsidR="00233B9B">
        <w:t>e.g.</w:t>
      </w:r>
      <w:proofErr w:type="gramEnd"/>
      <w:r w:rsidR="00233B9B">
        <w:t xml:space="preserve"> </w:t>
      </w:r>
      <w:r w:rsidR="00E12FB9">
        <w:t>based</w:t>
      </w:r>
      <w:r w:rsidR="006B7D9F">
        <w:t xml:space="preserve"> on the parameter </w:t>
      </w:r>
      <w:proofErr w:type="spellStart"/>
      <w:r w:rsidR="006B7D9F">
        <w:rPr>
          <w:i/>
          <w:iCs/>
        </w:rPr>
        <w:t>MeasObjectNR</w:t>
      </w:r>
      <w:proofErr w:type="spellEnd"/>
      <w:r w:rsidR="006B7D9F">
        <w:rPr>
          <w:i/>
          <w:iCs/>
        </w:rPr>
        <w:t xml:space="preserve"> &gt; </w:t>
      </w:r>
      <w:proofErr w:type="spellStart"/>
      <w:r w:rsidR="006B7D9F">
        <w:rPr>
          <w:i/>
          <w:iCs/>
        </w:rPr>
        <w:t>excludedCellsToAddModList</w:t>
      </w:r>
      <w:proofErr w:type="spellEnd"/>
      <w:r w:rsidR="006B7D9F">
        <w:t>.</w:t>
      </w:r>
      <w:r w:rsidR="00343E0B">
        <w:t xml:space="preserve"> Therefore, RAN2 should clarify the following proposal.</w:t>
      </w:r>
    </w:p>
    <w:p w14:paraId="79B4A3A1" w14:textId="3A432F1B" w:rsidR="00C7619B" w:rsidRPr="0009348C" w:rsidRDefault="0009348C" w:rsidP="00435855">
      <w:r w:rsidRPr="00DF7313">
        <w:rPr>
          <w:b/>
          <w:bCs/>
        </w:rPr>
        <w:t xml:space="preserve">Proposal </w:t>
      </w:r>
      <w:r>
        <w:rPr>
          <w:b/>
          <w:bCs/>
        </w:rPr>
        <w:t>3</w:t>
      </w:r>
      <w:r w:rsidRPr="00DF7313">
        <w:t>:</w:t>
      </w:r>
      <w:r w:rsidRPr="002E4D2B">
        <w:t xml:space="preserve"> </w:t>
      </w:r>
      <w:r w:rsidRPr="00DF7313">
        <w:t xml:space="preserve">An IAB node </w:t>
      </w:r>
      <w:r w:rsidR="0093272B" w:rsidRPr="0093272B">
        <w:t xml:space="preserve">may receive a measurement configuration indicating </w:t>
      </w:r>
      <w:r w:rsidR="0051053C">
        <w:t xml:space="preserve">mobile </w:t>
      </w:r>
      <w:r w:rsidR="0093272B" w:rsidRPr="0093272B">
        <w:t>IAB cells to be excluded from measurement</w:t>
      </w:r>
      <w:r w:rsidR="0051053C">
        <w:t>s</w:t>
      </w:r>
      <w:r w:rsidRPr="00DF7313">
        <w:t>.</w:t>
      </w:r>
    </w:p>
    <w:p w14:paraId="69B7B8E6" w14:textId="69E07FC9" w:rsidR="009339CB" w:rsidRPr="006E13D1" w:rsidRDefault="005A13AB" w:rsidP="009339CB">
      <w:pPr>
        <w:pStyle w:val="Heading1"/>
      </w:pPr>
      <w:r>
        <w:t>3</w:t>
      </w:r>
      <w:r w:rsidR="009339CB" w:rsidRPr="006E13D1">
        <w:tab/>
      </w:r>
      <w:r w:rsidR="009339CB">
        <w:t>Conclusion</w:t>
      </w:r>
    </w:p>
    <w:p w14:paraId="70238E45" w14:textId="77777777" w:rsidR="00E30193" w:rsidRPr="006E13D1" w:rsidRDefault="00E30193" w:rsidP="00E30193">
      <w:r>
        <w:t>This document has made the following observations:</w:t>
      </w:r>
    </w:p>
    <w:p w14:paraId="79D57CBF" w14:textId="6757975F" w:rsidR="00112531" w:rsidRDefault="00112531" w:rsidP="00112531">
      <w:r w:rsidRPr="007165FF">
        <w:rPr>
          <w:b/>
          <w:bCs/>
        </w:rPr>
        <w:t>Observation 1</w:t>
      </w:r>
      <w:r>
        <w:t>: Relying on UE measurements to determine the beam indications introduces additional delays to the RACH-less handover procedure, which could offset the benefits of RACH-less. Furthermore, RAN4 and RAN1 may need to be further involved to specify the procedure</w:t>
      </w:r>
      <w:r w:rsidR="0053517E">
        <w:t xml:space="preserve"> in that case</w:t>
      </w:r>
      <w:r>
        <w:t>.</w:t>
      </w:r>
    </w:p>
    <w:p w14:paraId="0E1FA61F" w14:textId="77777777" w:rsidR="00112531" w:rsidRDefault="00112531" w:rsidP="00112531">
      <w:r w:rsidRPr="006E7D94">
        <w:rPr>
          <w:b/>
          <w:bCs/>
        </w:rPr>
        <w:t>Observation 2</w:t>
      </w:r>
      <w:r>
        <w:t xml:space="preserve">: For blind beam indications to be effective, there would need to be a known one-to-one beam mapping between the source and target DU cells, which is also informed to the source and target CUs. This would require RAN3 to specify F1AP and </w:t>
      </w:r>
      <w:proofErr w:type="spellStart"/>
      <w:r>
        <w:t>XnAP</w:t>
      </w:r>
      <w:proofErr w:type="spellEnd"/>
      <w:r>
        <w:t xml:space="preserve"> enhancements.</w:t>
      </w:r>
    </w:p>
    <w:p w14:paraId="3B283D70" w14:textId="77777777" w:rsidR="00112531" w:rsidRPr="00D63409" w:rsidRDefault="00112531" w:rsidP="00112531">
      <w:r w:rsidRPr="00995348">
        <w:rPr>
          <w:b/>
          <w:bCs/>
        </w:rPr>
        <w:t xml:space="preserve">Observation </w:t>
      </w:r>
      <w:r>
        <w:rPr>
          <w:b/>
          <w:bCs/>
        </w:rPr>
        <w:t>3</w:t>
      </w:r>
      <w:r>
        <w:t xml:space="preserve">: Rel-18 TN UEs can likely support </w:t>
      </w:r>
      <w:proofErr w:type="spellStart"/>
      <w:r>
        <w:t>CondEvent</w:t>
      </w:r>
      <w:proofErr w:type="spellEnd"/>
      <w:r>
        <w:t xml:space="preserve"> T1 with small specification effort within RAN2.</w:t>
      </w:r>
    </w:p>
    <w:p w14:paraId="11C9C815" w14:textId="77777777" w:rsidR="00112531" w:rsidRDefault="00112531" w:rsidP="00112531">
      <w:pPr>
        <w:rPr>
          <w:rFonts w:eastAsia="MS PGothic" w:cs="Arial"/>
          <w:szCs w:val="18"/>
        </w:rPr>
      </w:pPr>
      <w:r w:rsidRPr="00387F23">
        <w:rPr>
          <w:rFonts w:eastAsia="MS PGothic" w:cs="Arial"/>
          <w:b/>
          <w:bCs/>
          <w:szCs w:val="18"/>
        </w:rPr>
        <w:lastRenderedPageBreak/>
        <w:t xml:space="preserve">Observation </w:t>
      </w:r>
      <w:r>
        <w:rPr>
          <w:rFonts w:eastAsia="MS PGothic" w:cs="Arial"/>
          <w:b/>
          <w:bCs/>
          <w:szCs w:val="18"/>
        </w:rPr>
        <w:t>4</w:t>
      </w:r>
      <w:r>
        <w:rPr>
          <w:rFonts w:eastAsia="MS PGothic" w:cs="Arial"/>
          <w:szCs w:val="18"/>
        </w:rPr>
        <w:t>: Based on existing agreements in RAN2 and RAN3, signalling storms can already be mitigated during full migration.</w:t>
      </w:r>
    </w:p>
    <w:p w14:paraId="050D91AB" w14:textId="77777777" w:rsidR="00112531" w:rsidRDefault="00112531" w:rsidP="00112531">
      <w:pPr>
        <w:rPr>
          <w:rFonts w:eastAsia="MS PGothic" w:cs="Arial"/>
          <w:szCs w:val="18"/>
        </w:rPr>
      </w:pPr>
      <w:r w:rsidRPr="00D15895">
        <w:rPr>
          <w:rFonts w:eastAsia="MS PGothic" w:cs="Arial"/>
          <w:b/>
          <w:bCs/>
          <w:szCs w:val="18"/>
        </w:rPr>
        <w:t xml:space="preserve">Observation </w:t>
      </w:r>
      <w:r>
        <w:rPr>
          <w:rFonts w:eastAsia="MS PGothic" w:cs="Arial"/>
          <w:b/>
          <w:bCs/>
          <w:szCs w:val="18"/>
        </w:rPr>
        <w:t>5</w:t>
      </w:r>
      <w:r>
        <w:rPr>
          <w:rFonts w:eastAsia="MS PGothic" w:cs="Arial"/>
          <w:szCs w:val="18"/>
        </w:rPr>
        <w:t xml:space="preserve">: The overall motivation for and benefit from Rel-18 TN UEs supporting </w:t>
      </w:r>
      <w:proofErr w:type="spellStart"/>
      <w:r>
        <w:rPr>
          <w:rFonts w:eastAsia="MS PGothic" w:cs="Arial"/>
          <w:szCs w:val="18"/>
        </w:rPr>
        <w:t>CondEvent</w:t>
      </w:r>
      <w:proofErr w:type="spellEnd"/>
      <w:r>
        <w:rPr>
          <w:rFonts w:eastAsia="MS PGothic" w:cs="Arial"/>
          <w:szCs w:val="18"/>
        </w:rPr>
        <w:t xml:space="preserve"> T1 is still not very clear.</w:t>
      </w:r>
    </w:p>
    <w:p w14:paraId="3BE72BE2" w14:textId="77777777" w:rsidR="009339CB" w:rsidRPr="004F4540" w:rsidRDefault="009339CB" w:rsidP="009339CB">
      <w:pPr>
        <w:rPr>
          <w:bCs/>
        </w:rPr>
      </w:pPr>
      <w:r>
        <w:rPr>
          <w:bCs/>
        </w:rPr>
        <w:t>And proposed the following:</w:t>
      </w:r>
    </w:p>
    <w:p w14:paraId="5AA07A58" w14:textId="77777777" w:rsidR="00112531" w:rsidRDefault="00112531" w:rsidP="00112531">
      <w:r>
        <w:rPr>
          <w:b/>
          <w:bCs/>
        </w:rPr>
        <w:t xml:space="preserve">Proposal 1: </w:t>
      </w:r>
      <w:r>
        <w:t xml:space="preserve">For RACH-less handover in mobile IAB, </w:t>
      </w:r>
      <w:r w:rsidRPr="007F56A0">
        <w:t xml:space="preserve">RAN2 should discuss whether </w:t>
      </w:r>
      <w:r>
        <w:t>to adopt measurement-based beam indications (which impacts RAN1/RAN4) or blind beam indications (which impacts RAN3) and inform the impacted work group(s) of the decision.</w:t>
      </w:r>
    </w:p>
    <w:p w14:paraId="72828EEB" w14:textId="77777777" w:rsidR="00112531" w:rsidRDefault="00112531" w:rsidP="00112531">
      <w:pPr>
        <w:rPr>
          <w:rFonts w:eastAsia="MS PGothic" w:cs="Arial"/>
          <w:szCs w:val="18"/>
        </w:rPr>
      </w:pPr>
      <w:r w:rsidRPr="00E25446">
        <w:rPr>
          <w:rFonts w:eastAsia="MS PGothic" w:cs="Arial"/>
          <w:b/>
          <w:bCs/>
          <w:szCs w:val="18"/>
        </w:rPr>
        <w:t xml:space="preserve">Proposal </w:t>
      </w:r>
      <w:r>
        <w:rPr>
          <w:rFonts w:eastAsia="MS PGothic" w:cs="Arial"/>
          <w:b/>
          <w:bCs/>
          <w:szCs w:val="18"/>
        </w:rPr>
        <w:t>2</w:t>
      </w:r>
      <w:r w:rsidRPr="00E25446">
        <w:rPr>
          <w:rFonts w:eastAsia="MS PGothic" w:cs="Arial"/>
          <w:b/>
          <w:bCs/>
          <w:szCs w:val="18"/>
        </w:rPr>
        <w:t xml:space="preserve">: </w:t>
      </w:r>
      <w:r w:rsidRPr="001F710D">
        <w:rPr>
          <w:rFonts w:eastAsia="MS PGothic" w:cs="Arial"/>
          <w:szCs w:val="18"/>
        </w:rPr>
        <w:t xml:space="preserve">RAN2 does not agree to support </w:t>
      </w:r>
      <w:proofErr w:type="spellStart"/>
      <w:r w:rsidRPr="001F710D">
        <w:rPr>
          <w:rFonts w:eastAsia="MS PGothic" w:cs="Arial"/>
          <w:szCs w:val="18"/>
        </w:rPr>
        <w:t>CondEvent</w:t>
      </w:r>
      <w:proofErr w:type="spellEnd"/>
      <w:r w:rsidRPr="001F710D">
        <w:rPr>
          <w:rFonts w:eastAsia="MS PGothic" w:cs="Arial"/>
          <w:szCs w:val="18"/>
        </w:rPr>
        <w:t xml:space="preserve"> T1 for Rel-18 TN UEs until benefits are better understood.</w:t>
      </w:r>
    </w:p>
    <w:p w14:paraId="35F222F4" w14:textId="379C9646" w:rsidR="00080512" w:rsidRPr="00A209D6" w:rsidRDefault="00112531" w:rsidP="00BC4480">
      <w:r w:rsidRPr="00DF7313">
        <w:rPr>
          <w:b/>
          <w:bCs/>
        </w:rPr>
        <w:t xml:space="preserve">Proposal </w:t>
      </w:r>
      <w:r>
        <w:rPr>
          <w:b/>
          <w:bCs/>
        </w:rPr>
        <w:t>3</w:t>
      </w:r>
      <w:r w:rsidRPr="00DF7313">
        <w:t>:</w:t>
      </w:r>
      <w:r w:rsidRPr="002E4D2B">
        <w:t xml:space="preserve"> </w:t>
      </w:r>
      <w:r w:rsidRPr="00DF7313">
        <w:t xml:space="preserve">An IAB node </w:t>
      </w:r>
      <w:r w:rsidRPr="0093272B">
        <w:t xml:space="preserve">may receive a measurement configuration indicating </w:t>
      </w:r>
      <w:r>
        <w:t xml:space="preserve">mobile </w:t>
      </w:r>
      <w:r w:rsidRPr="0093272B">
        <w:t>IAB cells to be excluded from measurement</w:t>
      </w:r>
      <w:r>
        <w:t>s</w:t>
      </w:r>
      <w:r w:rsidRPr="00DF7313">
        <w:t>.</w:t>
      </w:r>
    </w:p>
    <w:sectPr w:rsidR="00080512" w:rsidRPr="00A209D6">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397D2" w14:textId="77777777" w:rsidR="00E355F8" w:rsidRDefault="00E355F8">
      <w:r>
        <w:separator/>
      </w:r>
    </w:p>
  </w:endnote>
  <w:endnote w:type="continuationSeparator" w:id="0">
    <w:p w14:paraId="10653ADB" w14:textId="77777777" w:rsidR="00E355F8" w:rsidRDefault="00E355F8">
      <w:r>
        <w:continuationSeparator/>
      </w:r>
    </w:p>
  </w:endnote>
  <w:endnote w:type="continuationNotice" w:id="1">
    <w:p w14:paraId="1DC76443" w14:textId="77777777" w:rsidR="00E355F8" w:rsidRDefault="00E35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2956D" w14:textId="77777777" w:rsidR="00E355F8" w:rsidRDefault="00E355F8">
      <w:r>
        <w:separator/>
      </w:r>
    </w:p>
  </w:footnote>
  <w:footnote w:type="continuationSeparator" w:id="0">
    <w:p w14:paraId="363EB1A9" w14:textId="77777777" w:rsidR="00E355F8" w:rsidRDefault="00E355F8">
      <w:r>
        <w:continuationSeparator/>
      </w:r>
    </w:p>
  </w:footnote>
  <w:footnote w:type="continuationNotice" w:id="1">
    <w:p w14:paraId="0E7D2485" w14:textId="77777777" w:rsidR="00E355F8" w:rsidRDefault="00E35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C2A54"/>
    <w:multiLevelType w:val="hybridMultilevel"/>
    <w:tmpl w:val="43044E3A"/>
    <w:lvl w:ilvl="0" w:tplc="68CEFD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E1647E"/>
    <w:multiLevelType w:val="hybridMultilevel"/>
    <w:tmpl w:val="B2BC6662"/>
    <w:lvl w:ilvl="0" w:tplc="E990FE3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0518BA"/>
    <w:multiLevelType w:val="hybridMultilevel"/>
    <w:tmpl w:val="BB52C02E"/>
    <w:lvl w:ilvl="0" w:tplc="E7287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4187328"/>
    <w:multiLevelType w:val="hybridMultilevel"/>
    <w:tmpl w:val="BD20E6DC"/>
    <w:lvl w:ilvl="0" w:tplc="0162506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E4D4D6D"/>
    <w:multiLevelType w:val="multilevel"/>
    <w:tmpl w:val="16AC2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1A81D10"/>
    <w:multiLevelType w:val="hybridMultilevel"/>
    <w:tmpl w:val="CC3CB2B8"/>
    <w:lvl w:ilvl="0" w:tplc="A6B881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9814E4"/>
    <w:multiLevelType w:val="hybridMultilevel"/>
    <w:tmpl w:val="4AEA80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224873732">
    <w:abstractNumId w:val="10"/>
  </w:num>
  <w:num w:numId="9" w16cid:durableId="572588581">
    <w:abstractNumId w:val="11"/>
  </w:num>
  <w:num w:numId="10" w16cid:durableId="1457527158">
    <w:abstractNumId w:val="9"/>
  </w:num>
  <w:num w:numId="11" w16cid:durableId="943029844">
    <w:abstractNumId w:val="2"/>
  </w:num>
  <w:num w:numId="12" w16cid:durableId="303049579">
    <w:abstractNumId w:val="12"/>
  </w:num>
  <w:num w:numId="13" w16cid:durableId="28380083">
    <w:abstractNumId w:val="6"/>
  </w:num>
  <w:num w:numId="14" w16cid:durableId="1167748502">
    <w:abstractNumId w:val="3"/>
  </w:num>
  <w:num w:numId="15" w16cid:durableId="14463435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E28"/>
    <w:rsid w:val="00005B86"/>
    <w:rsid w:val="00006C10"/>
    <w:rsid w:val="000126E6"/>
    <w:rsid w:val="0001448C"/>
    <w:rsid w:val="00016557"/>
    <w:rsid w:val="00023C40"/>
    <w:rsid w:val="00033397"/>
    <w:rsid w:val="000355B1"/>
    <w:rsid w:val="00037D5F"/>
    <w:rsid w:val="00037F4C"/>
    <w:rsid w:val="00040095"/>
    <w:rsid w:val="0005237E"/>
    <w:rsid w:val="0005615F"/>
    <w:rsid w:val="000614D9"/>
    <w:rsid w:val="00065268"/>
    <w:rsid w:val="00065E09"/>
    <w:rsid w:val="00070491"/>
    <w:rsid w:val="000718BC"/>
    <w:rsid w:val="00073C9C"/>
    <w:rsid w:val="00076412"/>
    <w:rsid w:val="00080512"/>
    <w:rsid w:val="00090468"/>
    <w:rsid w:val="00090765"/>
    <w:rsid w:val="00090FDB"/>
    <w:rsid w:val="0009348C"/>
    <w:rsid w:val="00094380"/>
    <w:rsid w:val="00094568"/>
    <w:rsid w:val="000A0158"/>
    <w:rsid w:val="000A246C"/>
    <w:rsid w:val="000A5910"/>
    <w:rsid w:val="000B14D2"/>
    <w:rsid w:val="000B3776"/>
    <w:rsid w:val="000B3A94"/>
    <w:rsid w:val="000B7BCF"/>
    <w:rsid w:val="000C1DA6"/>
    <w:rsid w:val="000C27CE"/>
    <w:rsid w:val="000C522B"/>
    <w:rsid w:val="000D4383"/>
    <w:rsid w:val="000D4951"/>
    <w:rsid w:val="000D58AB"/>
    <w:rsid w:val="000F02E9"/>
    <w:rsid w:val="000F29AA"/>
    <w:rsid w:val="000F34CF"/>
    <w:rsid w:val="000F36B1"/>
    <w:rsid w:val="000F49E0"/>
    <w:rsid w:val="000F5382"/>
    <w:rsid w:val="001047C5"/>
    <w:rsid w:val="00112531"/>
    <w:rsid w:val="00112F1A"/>
    <w:rsid w:val="001151A6"/>
    <w:rsid w:val="0011598B"/>
    <w:rsid w:val="00123DE2"/>
    <w:rsid w:val="001341FE"/>
    <w:rsid w:val="00145075"/>
    <w:rsid w:val="001479A1"/>
    <w:rsid w:val="00150DF4"/>
    <w:rsid w:val="001623B7"/>
    <w:rsid w:val="00166CC5"/>
    <w:rsid w:val="001741A0"/>
    <w:rsid w:val="00175FA0"/>
    <w:rsid w:val="001811C1"/>
    <w:rsid w:val="00185D4C"/>
    <w:rsid w:val="00187E75"/>
    <w:rsid w:val="0019075D"/>
    <w:rsid w:val="001942F8"/>
    <w:rsid w:val="00194CD0"/>
    <w:rsid w:val="001A7D7D"/>
    <w:rsid w:val="001B116B"/>
    <w:rsid w:val="001B29BE"/>
    <w:rsid w:val="001B49C9"/>
    <w:rsid w:val="001C1B6E"/>
    <w:rsid w:val="001C23F4"/>
    <w:rsid w:val="001C4F79"/>
    <w:rsid w:val="001C6F70"/>
    <w:rsid w:val="001D093D"/>
    <w:rsid w:val="001D17F0"/>
    <w:rsid w:val="001D30A8"/>
    <w:rsid w:val="001E447F"/>
    <w:rsid w:val="001E5E64"/>
    <w:rsid w:val="001F168B"/>
    <w:rsid w:val="001F32F4"/>
    <w:rsid w:val="001F7831"/>
    <w:rsid w:val="00204045"/>
    <w:rsid w:val="0020712B"/>
    <w:rsid w:val="00213AE9"/>
    <w:rsid w:val="00225B5D"/>
    <w:rsid w:val="0022606D"/>
    <w:rsid w:val="00231160"/>
    <w:rsid w:val="00231728"/>
    <w:rsid w:val="00233B9B"/>
    <w:rsid w:val="002352BF"/>
    <w:rsid w:val="00235E1B"/>
    <w:rsid w:val="00236036"/>
    <w:rsid w:val="00243E64"/>
    <w:rsid w:val="00244A05"/>
    <w:rsid w:val="00244AF5"/>
    <w:rsid w:val="00250404"/>
    <w:rsid w:val="0025285C"/>
    <w:rsid w:val="0025379A"/>
    <w:rsid w:val="00256B74"/>
    <w:rsid w:val="002572B9"/>
    <w:rsid w:val="002610D8"/>
    <w:rsid w:val="00264BCE"/>
    <w:rsid w:val="0027058C"/>
    <w:rsid w:val="002747EC"/>
    <w:rsid w:val="00280184"/>
    <w:rsid w:val="002807C4"/>
    <w:rsid w:val="00282E06"/>
    <w:rsid w:val="002855BF"/>
    <w:rsid w:val="002A0EDD"/>
    <w:rsid w:val="002B2988"/>
    <w:rsid w:val="002B4EAD"/>
    <w:rsid w:val="002B5880"/>
    <w:rsid w:val="002B6B15"/>
    <w:rsid w:val="002B7591"/>
    <w:rsid w:val="002C4EF1"/>
    <w:rsid w:val="002D1FEB"/>
    <w:rsid w:val="002D73B8"/>
    <w:rsid w:val="002E05FC"/>
    <w:rsid w:val="002E1737"/>
    <w:rsid w:val="002F0B55"/>
    <w:rsid w:val="002F0D22"/>
    <w:rsid w:val="002F235B"/>
    <w:rsid w:val="002F4A32"/>
    <w:rsid w:val="00306E6C"/>
    <w:rsid w:val="00311B17"/>
    <w:rsid w:val="00314389"/>
    <w:rsid w:val="00315ABA"/>
    <w:rsid w:val="003172DC"/>
    <w:rsid w:val="003256B1"/>
    <w:rsid w:val="00325AE3"/>
    <w:rsid w:val="00326069"/>
    <w:rsid w:val="003363A5"/>
    <w:rsid w:val="00337665"/>
    <w:rsid w:val="00343104"/>
    <w:rsid w:val="00343E0B"/>
    <w:rsid w:val="00345B4F"/>
    <w:rsid w:val="0034647D"/>
    <w:rsid w:val="003505FF"/>
    <w:rsid w:val="0035462D"/>
    <w:rsid w:val="00362A9F"/>
    <w:rsid w:val="0036459E"/>
    <w:rsid w:val="00364B41"/>
    <w:rsid w:val="00370630"/>
    <w:rsid w:val="00372676"/>
    <w:rsid w:val="00374379"/>
    <w:rsid w:val="00375A85"/>
    <w:rsid w:val="00377DF5"/>
    <w:rsid w:val="00380695"/>
    <w:rsid w:val="00383096"/>
    <w:rsid w:val="00390D93"/>
    <w:rsid w:val="0039346C"/>
    <w:rsid w:val="003A0A88"/>
    <w:rsid w:val="003A23C1"/>
    <w:rsid w:val="003A41EF"/>
    <w:rsid w:val="003A7DB0"/>
    <w:rsid w:val="003B249D"/>
    <w:rsid w:val="003B40AD"/>
    <w:rsid w:val="003C1AB1"/>
    <w:rsid w:val="003C4922"/>
    <w:rsid w:val="003C4E37"/>
    <w:rsid w:val="003D0FD0"/>
    <w:rsid w:val="003D1EF7"/>
    <w:rsid w:val="003E16BE"/>
    <w:rsid w:val="003E3079"/>
    <w:rsid w:val="003E58B0"/>
    <w:rsid w:val="003F4E28"/>
    <w:rsid w:val="003F76F4"/>
    <w:rsid w:val="004006E8"/>
    <w:rsid w:val="0040162F"/>
    <w:rsid w:val="00401855"/>
    <w:rsid w:val="004039BC"/>
    <w:rsid w:val="004146BA"/>
    <w:rsid w:val="00421E15"/>
    <w:rsid w:val="004237E8"/>
    <w:rsid w:val="004300DF"/>
    <w:rsid w:val="00430C87"/>
    <w:rsid w:val="0043409A"/>
    <w:rsid w:val="00435855"/>
    <w:rsid w:val="00437BA2"/>
    <w:rsid w:val="00446C3A"/>
    <w:rsid w:val="00446E64"/>
    <w:rsid w:val="00447FD3"/>
    <w:rsid w:val="00456BF0"/>
    <w:rsid w:val="00465587"/>
    <w:rsid w:val="0046637E"/>
    <w:rsid w:val="00467804"/>
    <w:rsid w:val="004731BF"/>
    <w:rsid w:val="00473FE3"/>
    <w:rsid w:val="00477455"/>
    <w:rsid w:val="00482134"/>
    <w:rsid w:val="0048568C"/>
    <w:rsid w:val="00493FA0"/>
    <w:rsid w:val="004A1F7B"/>
    <w:rsid w:val="004B3027"/>
    <w:rsid w:val="004C44D2"/>
    <w:rsid w:val="004D3578"/>
    <w:rsid w:val="004D380D"/>
    <w:rsid w:val="004E213A"/>
    <w:rsid w:val="004E23D6"/>
    <w:rsid w:val="004F0B1F"/>
    <w:rsid w:val="004F3271"/>
    <w:rsid w:val="004F4540"/>
    <w:rsid w:val="004F4ED9"/>
    <w:rsid w:val="004F73A7"/>
    <w:rsid w:val="004F776C"/>
    <w:rsid w:val="00503171"/>
    <w:rsid w:val="00503959"/>
    <w:rsid w:val="00503DB9"/>
    <w:rsid w:val="00506C28"/>
    <w:rsid w:val="00507583"/>
    <w:rsid w:val="0051053C"/>
    <w:rsid w:val="0051710B"/>
    <w:rsid w:val="005171EF"/>
    <w:rsid w:val="00522E67"/>
    <w:rsid w:val="0052345D"/>
    <w:rsid w:val="005251C2"/>
    <w:rsid w:val="00525E26"/>
    <w:rsid w:val="005275DB"/>
    <w:rsid w:val="005323FA"/>
    <w:rsid w:val="00534DA0"/>
    <w:rsid w:val="0053517E"/>
    <w:rsid w:val="00543E6C"/>
    <w:rsid w:val="00544781"/>
    <w:rsid w:val="00545A95"/>
    <w:rsid w:val="00546DD4"/>
    <w:rsid w:val="0055619F"/>
    <w:rsid w:val="00565087"/>
    <w:rsid w:val="0056573F"/>
    <w:rsid w:val="00571279"/>
    <w:rsid w:val="00574CA7"/>
    <w:rsid w:val="00582346"/>
    <w:rsid w:val="00587C75"/>
    <w:rsid w:val="0059106B"/>
    <w:rsid w:val="00592C4B"/>
    <w:rsid w:val="00593520"/>
    <w:rsid w:val="00594480"/>
    <w:rsid w:val="005A13AB"/>
    <w:rsid w:val="005A1B6A"/>
    <w:rsid w:val="005A49C6"/>
    <w:rsid w:val="005C28AB"/>
    <w:rsid w:val="005C766E"/>
    <w:rsid w:val="005C7CD5"/>
    <w:rsid w:val="005E34F2"/>
    <w:rsid w:val="005E3844"/>
    <w:rsid w:val="006017F6"/>
    <w:rsid w:val="00605C17"/>
    <w:rsid w:val="006075CA"/>
    <w:rsid w:val="00611566"/>
    <w:rsid w:val="00611E55"/>
    <w:rsid w:val="00624D8D"/>
    <w:rsid w:val="0063098A"/>
    <w:rsid w:val="00633F71"/>
    <w:rsid w:val="00636469"/>
    <w:rsid w:val="00646D99"/>
    <w:rsid w:val="00652FDA"/>
    <w:rsid w:val="00656910"/>
    <w:rsid w:val="00656E32"/>
    <w:rsid w:val="006574C0"/>
    <w:rsid w:val="00663CBD"/>
    <w:rsid w:val="00663F73"/>
    <w:rsid w:val="00667FA9"/>
    <w:rsid w:val="00670978"/>
    <w:rsid w:val="00675DD9"/>
    <w:rsid w:val="00676E9A"/>
    <w:rsid w:val="006817E6"/>
    <w:rsid w:val="00695685"/>
    <w:rsid w:val="00696821"/>
    <w:rsid w:val="006A39F0"/>
    <w:rsid w:val="006B2B54"/>
    <w:rsid w:val="006B3C88"/>
    <w:rsid w:val="006B57F5"/>
    <w:rsid w:val="006B79B6"/>
    <w:rsid w:val="006B7D9F"/>
    <w:rsid w:val="006C66D8"/>
    <w:rsid w:val="006D1E24"/>
    <w:rsid w:val="006D2C64"/>
    <w:rsid w:val="006D35DE"/>
    <w:rsid w:val="006E09C0"/>
    <w:rsid w:val="006E1057"/>
    <w:rsid w:val="006E1417"/>
    <w:rsid w:val="006E50FF"/>
    <w:rsid w:val="006E7D94"/>
    <w:rsid w:val="006F0365"/>
    <w:rsid w:val="006F6A2C"/>
    <w:rsid w:val="007069DC"/>
    <w:rsid w:val="00707748"/>
    <w:rsid w:val="00710201"/>
    <w:rsid w:val="00714953"/>
    <w:rsid w:val="007152D9"/>
    <w:rsid w:val="007165FF"/>
    <w:rsid w:val="0072073A"/>
    <w:rsid w:val="00730469"/>
    <w:rsid w:val="007342B5"/>
    <w:rsid w:val="00734A5B"/>
    <w:rsid w:val="00740148"/>
    <w:rsid w:val="00744E76"/>
    <w:rsid w:val="00751A90"/>
    <w:rsid w:val="00755A19"/>
    <w:rsid w:val="00757D40"/>
    <w:rsid w:val="00761476"/>
    <w:rsid w:val="00764438"/>
    <w:rsid w:val="007662B5"/>
    <w:rsid w:val="007766D1"/>
    <w:rsid w:val="00781F0F"/>
    <w:rsid w:val="007847AC"/>
    <w:rsid w:val="007855CA"/>
    <w:rsid w:val="0078727C"/>
    <w:rsid w:val="0079049D"/>
    <w:rsid w:val="0079331E"/>
    <w:rsid w:val="00793DC5"/>
    <w:rsid w:val="00794E2F"/>
    <w:rsid w:val="00796823"/>
    <w:rsid w:val="007A2E55"/>
    <w:rsid w:val="007A4253"/>
    <w:rsid w:val="007A60D4"/>
    <w:rsid w:val="007B18D8"/>
    <w:rsid w:val="007B6080"/>
    <w:rsid w:val="007C07AD"/>
    <w:rsid w:val="007C095F"/>
    <w:rsid w:val="007C2DD0"/>
    <w:rsid w:val="007C2F0E"/>
    <w:rsid w:val="007C377E"/>
    <w:rsid w:val="007D69E2"/>
    <w:rsid w:val="007E0FF3"/>
    <w:rsid w:val="007F224A"/>
    <w:rsid w:val="007F2E08"/>
    <w:rsid w:val="007F56A0"/>
    <w:rsid w:val="008000A0"/>
    <w:rsid w:val="00801AE2"/>
    <w:rsid w:val="008024FA"/>
    <w:rsid w:val="008028A4"/>
    <w:rsid w:val="00804E64"/>
    <w:rsid w:val="008052B4"/>
    <w:rsid w:val="008109AB"/>
    <w:rsid w:val="00813245"/>
    <w:rsid w:val="0083571B"/>
    <w:rsid w:val="00840DE0"/>
    <w:rsid w:val="0084252F"/>
    <w:rsid w:val="00847CD0"/>
    <w:rsid w:val="00854D4F"/>
    <w:rsid w:val="00856755"/>
    <w:rsid w:val="008607A8"/>
    <w:rsid w:val="0086354A"/>
    <w:rsid w:val="0087328F"/>
    <w:rsid w:val="008733AD"/>
    <w:rsid w:val="008768CA"/>
    <w:rsid w:val="00877AC4"/>
    <w:rsid w:val="00877EF9"/>
    <w:rsid w:val="00880559"/>
    <w:rsid w:val="00892213"/>
    <w:rsid w:val="008A072E"/>
    <w:rsid w:val="008A32BF"/>
    <w:rsid w:val="008B5306"/>
    <w:rsid w:val="008B54E8"/>
    <w:rsid w:val="008C2E2A"/>
    <w:rsid w:val="008C3057"/>
    <w:rsid w:val="008C4D3F"/>
    <w:rsid w:val="008D2E4D"/>
    <w:rsid w:val="008D791B"/>
    <w:rsid w:val="008E3F9D"/>
    <w:rsid w:val="008E6BC6"/>
    <w:rsid w:val="008F32B7"/>
    <w:rsid w:val="008F396F"/>
    <w:rsid w:val="008F3DCD"/>
    <w:rsid w:val="008F4DAB"/>
    <w:rsid w:val="008F65E0"/>
    <w:rsid w:val="0090271F"/>
    <w:rsid w:val="00902DB9"/>
    <w:rsid w:val="0090466A"/>
    <w:rsid w:val="00905E5A"/>
    <w:rsid w:val="009138FD"/>
    <w:rsid w:val="009206D1"/>
    <w:rsid w:val="00923655"/>
    <w:rsid w:val="0093272B"/>
    <w:rsid w:val="009339CB"/>
    <w:rsid w:val="00935693"/>
    <w:rsid w:val="00936071"/>
    <w:rsid w:val="009376CD"/>
    <w:rsid w:val="00937B62"/>
    <w:rsid w:val="00940212"/>
    <w:rsid w:val="00942EC2"/>
    <w:rsid w:val="00945E82"/>
    <w:rsid w:val="00946A92"/>
    <w:rsid w:val="00951664"/>
    <w:rsid w:val="009550BB"/>
    <w:rsid w:val="00961B32"/>
    <w:rsid w:val="00962509"/>
    <w:rsid w:val="00970DB3"/>
    <w:rsid w:val="0097381E"/>
    <w:rsid w:val="0097477F"/>
    <w:rsid w:val="00974BB0"/>
    <w:rsid w:val="00975744"/>
    <w:rsid w:val="00975BCD"/>
    <w:rsid w:val="009766BB"/>
    <w:rsid w:val="00976A24"/>
    <w:rsid w:val="00976CA3"/>
    <w:rsid w:val="0098128B"/>
    <w:rsid w:val="009818A2"/>
    <w:rsid w:val="0098627A"/>
    <w:rsid w:val="009928A9"/>
    <w:rsid w:val="00993463"/>
    <w:rsid w:val="00996BF2"/>
    <w:rsid w:val="009A0AF3"/>
    <w:rsid w:val="009B07CD"/>
    <w:rsid w:val="009B2699"/>
    <w:rsid w:val="009C0063"/>
    <w:rsid w:val="009C19E9"/>
    <w:rsid w:val="009C7BCB"/>
    <w:rsid w:val="009D26B2"/>
    <w:rsid w:val="009D74A6"/>
    <w:rsid w:val="009E0E87"/>
    <w:rsid w:val="009E644B"/>
    <w:rsid w:val="009F6EF9"/>
    <w:rsid w:val="00A02A32"/>
    <w:rsid w:val="00A10F02"/>
    <w:rsid w:val="00A14B71"/>
    <w:rsid w:val="00A15999"/>
    <w:rsid w:val="00A17176"/>
    <w:rsid w:val="00A204CA"/>
    <w:rsid w:val="00A209D6"/>
    <w:rsid w:val="00A22738"/>
    <w:rsid w:val="00A27208"/>
    <w:rsid w:val="00A36F5F"/>
    <w:rsid w:val="00A430EC"/>
    <w:rsid w:val="00A4746C"/>
    <w:rsid w:val="00A47DA5"/>
    <w:rsid w:val="00A52285"/>
    <w:rsid w:val="00A53724"/>
    <w:rsid w:val="00A54B2B"/>
    <w:rsid w:val="00A57A97"/>
    <w:rsid w:val="00A61C10"/>
    <w:rsid w:val="00A63DEA"/>
    <w:rsid w:val="00A703B6"/>
    <w:rsid w:val="00A7309E"/>
    <w:rsid w:val="00A76349"/>
    <w:rsid w:val="00A812C8"/>
    <w:rsid w:val="00A82346"/>
    <w:rsid w:val="00A849D4"/>
    <w:rsid w:val="00A964E4"/>
    <w:rsid w:val="00A9671C"/>
    <w:rsid w:val="00A96FC0"/>
    <w:rsid w:val="00AA1553"/>
    <w:rsid w:val="00AB31BB"/>
    <w:rsid w:val="00AB3332"/>
    <w:rsid w:val="00AC2DB8"/>
    <w:rsid w:val="00AE1587"/>
    <w:rsid w:val="00AE1933"/>
    <w:rsid w:val="00AE6C39"/>
    <w:rsid w:val="00AE77C4"/>
    <w:rsid w:val="00AF4DC7"/>
    <w:rsid w:val="00AF59AC"/>
    <w:rsid w:val="00AF79AC"/>
    <w:rsid w:val="00B05162"/>
    <w:rsid w:val="00B05380"/>
    <w:rsid w:val="00B05962"/>
    <w:rsid w:val="00B06FA9"/>
    <w:rsid w:val="00B11027"/>
    <w:rsid w:val="00B15449"/>
    <w:rsid w:val="00B16C2F"/>
    <w:rsid w:val="00B26848"/>
    <w:rsid w:val="00B27303"/>
    <w:rsid w:val="00B313F0"/>
    <w:rsid w:val="00B35325"/>
    <w:rsid w:val="00B40B25"/>
    <w:rsid w:val="00B42257"/>
    <w:rsid w:val="00B4349D"/>
    <w:rsid w:val="00B45CB6"/>
    <w:rsid w:val="00B47FD1"/>
    <w:rsid w:val="00B516BB"/>
    <w:rsid w:val="00B5475D"/>
    <w:rsid w:val="00B67416"/>
    <w:rsid w:val="00B7538C"/>
    <w:rsid w:val="00B75B06"/>
    <w:rsid w:val="00B771E1"/>
    <w:rsid w:val="00B841D6"/>
    <w:rsid w:val="00B84B3A"/>
    <w:rsid w:val="00B84DB2"/>
    <w:rsid w:val="00B93811"/>
    <w:rsid w:val="00B94D90"/>
    <w:rsid w:val="00B97871"/>
    <w:rsid w:val="00BA15D7"/>
    <w:rsid w:val="00BA500C"/>
    <w:rsid w:val="00BC3555"/>
    <w:rsid w:val="00BC4480"/>
    <w:rsid w:val="00BC47B5"/>
    <w:rsid w:val="00BC568B"/>
    <w:rsid w:val="00BD2475"/>
    <w:rsid w:val="00BD368E"/>
    <w:rsid w:val="00BD3EB6"/>
    <w:rsid w:val="00BD5A32"/>
    <w:rsid w:val="00BD7FB8"/>
    <w:rsid w:val="00BE5547"/>
    <w:rsid w:val="00BF35F8"/>
    <w:rsid w:val="00BF3CFA"/>
    <w:rsid w:val="00BF467D"/>
    <w:rsid w:val="00BF50E8"/>
    <w:rsid w:val="00BF5A5F"/>
    <w:rsid w:val="00BF5E44"/>
    <w:rsid w:val="00C012D5"/>
    <w:rsid w:val="00C059E9"/>
    <w:rsid w:val="00C06ED3"/>
    <w:rsid w:val="00C110A2"/>
    <w:rsid w:val="00C12B51"/>
    <w:rsid w:val="00C24650"/>
    <w:rsid w:val="00C25465"/>
    <w:rsid w:val="00C3013D"/>
    <w:rsid w:val="00C33079"/>
    <w:rsid w:val="00C416CE"/>
    <w:rsid w:val="00C4515D"/>
    <w:rsid w:val="00C4580F"/>
    <w:rsid w:val="00C461E6"/>
    <w:rsid w:val="00C46229"/>
    <w:rsid w:val="00C46C32"/>
    <w:rsid w:val="00C52050"/>
    <w:rsid w:val="00C55A12"/>
    <w:rsid w:val="00C6553E"/>
    <w:rsid w:val="00C65CFA"/>
    <w:rsid w:val="00C7442D"/>
    <w:rsid w:val="00C76170"/>
    <w:rsid w:val="00C7619B"/>
    <w:rsid w:val="00C8176D"/>
    <w:rsid w:val="00C83A13"/>
    <w:rsid w:val="00C85BDD"/>
    <w:rsid w:val="00C863EE"/>
    <w:rsid w:val="00C86F10"/>
    <w:rsid w:val="00C901AA"/>
    <w:rsid w:val="00C9068C"/>
    <w:rsid w:val="00C92967"/>
    <w:rsid w:val="00CA07A6"/>
    <w:rsid w:val="00CA0B7A"/>
    <w:rsid w:val="00CA3D0C"/>
    <w:rsid w:val="00CA654B"/>
    <w:rsid w:val="00CA684F"/>
    <w:rsid w:val="00CB2549"/>
    <w:rsid w:val="00CB72B8"/>
    <w:rsid w:val="00CB760A"/>
    <w:rsid w:val="00CC32AD"/>
    <w:rsid w:val="00CC7433"/>
    <w:rsid w:val="00CD0BA8"/>
    <w:rsid w:val="00CD2398"/>
    <w:rsid w:val="00CD4C7B"/>
    <w:rsid w:val="00CD58FE"/>
    <w:rsid w:val="00CD749C"/>
    <w:rsid w:val="00CE1902"/>
    <w:rsid w:val="00CE5FD5"/>
    <w:rsid w:val="00CE67CC"/>
    <w:rsid w:val="00CF1044"/>
    <w:rsid w:val="00CF5242"/>
    <w:rsid w:val="00D071B5"/>
    <w:rsid w:val="00D1044E"/>
    <w:rsid w:val="00D24CBB"/>
    <w:rsid w:val="00D30694"/>
    <w:rsid w:val="00D33BE3"/>
    <w:rsid w:val="00D3792D"/>
    <w:rsid w:val="00D43E87"/>
    <w:rsid w:val="00D45148"/>
    <w:rsid w:val="00D51633"/>
    <w:rsid w:val="00D54820"/>
    <w:rsid w:val="00D55E47"/>
    <w:rsid w:val="00D62E19"/>
    <w:rsid w:val="00D66DEC"/>
    <w:rsid w:val="00D67CD1"/>
    <w:rsid w:val="00D738D6"/>
    <w:rsid w:val="00D773F4"/>
    <w:rsid w:val="00D80795"/>
    <w:rsid w:val="00D83B79"/>
    <w:rsid w:val="00D854BE"/>
    <w:rsid w:val="00D878CA"/>
    <w:rsid w:val="00D87E00"/>
    <w:rsid w:val="00D9134D"/>
    <w:rsid w:val="00D947A4"/>
    <w:rsid w:val="00D96D11"/>
    <w:rsid w:val="00DA4863"/>
    <w:rsid w:val="00DA63D9"/>
    <w:rsid w:val="00DA70CF"/>
    <w:rsid w:val="00DA7A03"/>
    <w:rsid w:val="00DB0DB8"/>
    <w:rsid w:val="00DB1818"/>
    <w:rsid w:val="00DB3058"/>
    <w:rsid w:val="00DB62B3"/>
    <w:rsid w:val="00DB639D"/>
    <w:rsid w:val="00DB65E4"/>
    <w:rsid w:val="00DC309B"/>
    <w:rsid w:val="00DC337E"/>
    <w:rsid w:val="00DC364C"/>
    <w:rsid w:val="00DC4DA2"/>
    <w:rsid w:val="00DC5261"/>
    <w:rsid w:val="00DD5B2F"/>
    <w:rsid w:val="00DE25D2"/>
    <w:rsid w:val="00DE294E"/>
    <w:rsid w:val="00DE7A3C"/>
    <w:rsid w:val="00DF7C20"/>
    <w:rsid w:val="00E038FB"/>
    <w:rsid w:val="00E12FB9"/>
    <w:rsid w:val="00E15F1B"/>
    <w:rsid w:val="00E1706B"/>
    <w:rsid w:val="00E21E46"/>
    <w:rsid w:val="00E24F98"/>
    <w:rsid w:val="00E30193"/>
    <w:rsid w:val="00E32583"/>
    <w:rsid w:val="00E32673"/>
    <w:rsid w:val="00E355F8"/>
    <w:rsid w:val="00E4003F"/>
    <w:rsid w:val="00E44A01"/>
    <w:rsid w:val="00E44C8C"/>
    <w:rsid w:val="00E46C08"/>
    <w:rsid w:val="00E46EBB"/>
    <w:rsid w:val="00E471CF"/>
    <w:rsid w:val="00E54FBD"/>
    <w:rsid w:val="00E62835"/>
    <w:rsid w:val="00E6480E"/>
    <w:rsid w:val="00E67AE7"/>
    <w:rsid w:val="00E77645"/>
    <w:rsid w:val="00E83697"/>
    <w:rsid w:val="00E84446"/>
    <w:rsid w:val="00E85866"/>
    <w:rsid w:val="00E859B6"/>
    <w:rsid w:val="00E9016F"/>
    <w:rsid w:val="00E95DCE"/>
    <w:rsid w:val="00EA1470"/>
    <w:rsid w:val="00EA66C9"/>
    <w:rsid w:val="00EB0D8A"/>
    <w:rsid w:val="00EB221B"/>
    <w:rsid w:val="00EB5D32"/>
    <w:rsid w:val="00EC4A25"/>
    <w:rsid w:val="00EE1BFE"/>
    <w:rsid w:val="00EE718E"/>
    <w:rsid w:val="00EF612C"/>
    <w:rsid w:val="00F00739"/>
    <w:rsid w:val="00F025A2"/>
    <w:rsid w:val="00F036E9"/>
    <w:rsid w:val="00F07388"/>
    <w:rsid w:val="00F11FC7"/>
    <w:rsid w:val="00F172CA"/>
    <w:rsid w:val="00F17D8D"/>
    <w:rsid w:val="00F2026E"/>
    <w:rsid w:val="00F2210A"/>
    <w:rsid w:val="00F26178"/>
    <w:rsid w:val="00F31372"/>
    <w:rsid w:val="00F33947"/>
    <w:rsid w:val="00F34748"/>
    <w:rsid w:val="00F37743"/>
    <w:rsid w:val="00F44B9A"/>
    <w:rsid w:val="00F54A3D"/>
    <w:rsid w:val="00F54CB0"/>
    <w:rsid w:val="00F579CD"/>
    <w:rsid w:val="00F653B8"/>
    <w:rsid w:val="00F71B89"/>
    <w:rsid w:val="00F728E5"/>
    <w:rsid w:val="00F72BBE"/>
    <w:rsid w:val="00F7353C"/>
    <w:rsid w:val="00F753DC"/>
    <w:rsid w:val="00F75BEC"/>
    <w:rsid w:val="00F76F8F"/>
    <w:rsid w:val="00F87257"/>
    <w:rsid w:val="00F910A7"/>
    <w:rsid w:val="00F930B9"/>
    <w:rsid w:val="00F93A7F"/>
    <w:rsid w:val="00F941DF"/>
    <w:rsid w:val="00FA1266"/>
    <w:rsid w:val="00FA5A59"/>
    <w:rsid w:val="00FB2BE0"/>
    <w:rsid w:val="00FB3203"/>
    <w:rsid w:val="00FB36FA"/>
    <w:rsid w:val="00FC0460"/>
    <w:rsid w:val="00FC1192"/>
    <w:rsid w:val="00FC5F1E"/>
    <w:rsid w:val="00FD00A8"/>
    <w:rsid w:val="00FD66F9"/>
    <w:rsid w:val="00FE106D"/>
    <w:rsid w:val="00FE1894"/>
    <w:rsid w:val="00FE251B"/>
    <w:rsid w:val="00FE29F0"/>
    <w:rsid w:val="00FE7C48"/>
    <w:rsid w:val="00FF4C28"/>
    <w:rsid w:val="17668648"/>
    <w:rsid w:val="1C26B89A"/>
    <w:rsid w:val="1FFC8D0B"/>
    <w:rsid w:val="23900C0F"/>
    <w:rsid w:val="2CFE9679"/>
    <w:rsid w:val="36512B10"/>
    <w:rsid w:val="46DB3364"/>
    <w:rsid w:val="4A98EACC"/>
    <w:rsid w:val="578F2E2D"/>
    <w:rsid w:val="59D4A0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82E06"/>
    <w:pPr>
      <w:ind w:left="720"/>
      <w:contextualSpacing/>
    </w:p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D947A4"/>
    <w:rPr>
      <w:lang w:eastAsia="en-US"/>
    </w:rPr>
  </w:style>
  <w:style w:type="character" w:styleId="FollowedHyperlink">
    <w:name w:val="FollowedHyperlink"/>
    <w:basedOn w:val="DefaultParagraphFont"/>
    <w:rsid w:val="001E447F"/>
    <w:rPr>
      <w:color w:val="954F72" w:themeColor="followedHyperlink"/>
      <w:u w:val="single"/>
    </w:rPr>
  </w:style>
  <w:style w:type="paragraph" w:customStyle="1" w:styleId="Agreement">
    <w:name w:val="Agreement"/>
    <w:basedOn w:val="Normal"/>
    <w:next w:val="Normal"/>
    <w:uiPriority w:val="99"/>
    <w:qFormat/>
    <w:rsid w:val="00390D93"/>
    <w:pPr>
      <w:numPr>
        <w:numId w:val="9"/>
      </w:numPr>
      <w:tabs>
        <w:tab w:val="clear" w:pos="3620"/>
        <w:tab w:val="num" w:pos="1619"/>
      </w:tabs>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765344">
      <w:bodyDiv w:val="1"/>
      <w:marLeft w:val="0"/>
      <w:marRight w:val="0"/>
      <w:marTop w:val="0"/>
      <w:marBottom w:val="0"/>
      <w:divBdr>
        <w:top w:val="none" w:sz="0" w:space="0" w:color="auto"/>
        <w:left w:val="none" w:sz="0" w:space="0" w:color="auto"/>
        <w:bottom w:val="none" w:sz="0" w:space="0" w:color="auto"/>
        <w:right w:val="none" w:sz="0" w:space="0" w:color="auto"/>
      </w:divBdr>
    </w:div>
    <w:div w:id="4510232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3/docs/R2-2308603.zip" TargetMode="External"/><Relationship Id="rId18" Type="http://schemas.openxmlformats.org/officeDocument/2006/relationships/hyperlink" Target="https://www.3gpp.org/ftp/tsg_ran/WG2_RL2/TSGR2_121bis-e/Docs/R2-2302929.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3_Iu/TSGR3_121/Docs/R3-234010.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3_Iu/TSGR3_118/Docs/R3-226101.zi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www.3gpp.org/ftp/tsg_ran/WG3_Iu/TSGR3_119bis-e/Docs/R3-231101.zip"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0/Docs/R2-2211101.zip"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5AIRPNAIUNRU-859666464-15286</_dlc_DocId>
    <_dlc_DocIdUrl xmlns="71c5aaf6-e6ce-465b-b873-5148d2a4c105">
      <Url>https://nokia.sharepoint.com/sites/c5g/e2earch/_layouts/15/DocIdRedir.aspx?ID=5AIRPNAIUNRU-859666464-15286</Url>
      <Description>5AIRPNAIUNRU-859666464-15286</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A8C4FEC9-1E5A-407B-A133-8FE33AAB82BC}">
  <ds:schemaRefs>
    <ds:schemaRef ds:uri="http://schemas.openxmlformats.org/officeDocument/2006/bibliography"/>
  </ds:schemaRefs>
</ds:datastoreItem>
</file>

<file path=customXml/itemProps5.xml><?xml version="1.0" encoding="utf-8"?>
<ds:datastoreItem xmlns:ds="http://schemas.openxmlformats.org/officeDocument/2006/customXml" ds:itemID="{F213B45F-9A82-46B5-A720-05E679447E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5</Pages>
  <Words>2044</Words>
  <Characters>11654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Lappalainen (Nokia)</dc:creator>
  <cp:keywords/>
  <dc:description/>
  <cp:lastModifiedBy>Andrew Lappalainen (Nokia)</cp:lastModifiedBy>
  <cp:revision>537</cp:revision>
  <dcterms:created xsi:type="dcterms:W3CDTF">2016-08-12T13:53:00Z</dcterms:created>
  <dcterms:modified xsi:type="dcterms:W3CDTF">2023-09-28T21:40:00Z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6795f93e-c801-4f5d-82f0-fa767ac4ea60</vt:lpwstr>
  </property>
  <property fmtid="{D5CDD505-2E9C-101B-9397-08002B2CF9AE}" pid="4" name="MediaServiceImageTags">
    <vt:lpwstr/>
  </property>
</Properties>
</file>